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4"/>
                <w:sz w:val="20"/>
              </w:rPr>
            </w:pPr>
            <w:r>
              <w:rPr>
                <w:rFonts w:ascii="Times New Roman;serif" w:hAnsi="Times New Roman;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erif" w:hAnsi="Times New Roman;serif"/>
          <w:b/>
          <w:color w:val="000000"/>
          <w:sz w:val="20"/>
        </w:rPr>
        <w:t>50 West 23</w:t>
      </w:r>
      <w:r>
        <w:rPr>
          <w:rFonts w:ascii="Times New Roman;serif" w:hAnsi="Times New Roman;serif"/>
          <w:b/>
          <w:color w:val="000000"/>
          <w:sz w:val="13"/>
        </w:rPr>
        <w:t>rd</w:t>
      </w:r>
      <w:r>
        <w:rPr>
          <w:color w:val="000000"/>
        </w:rPr>
        <w:t xml:space="preserve"> </w:t>
      </w:r>
      <w:r>
        <w:rPr>
          <w:rFonts w:ascii="Times New Roman;serif" w:hAnsi="Times New Roman;serif"/>
          <w:b/>
          <w:color w:val="000000"/>
          <w:sz w:val="20"/>
        </w:rPr>
        <w:t>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 10010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registrant’s principal executive offices, and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(646) 397-2039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3"/>
        <w:gridCol w:w="2038"/>
        <w:gridCol w:w="2062"/>
        <w:gridCol w:w="109"/>
        <w:gridCol w:w="109"/>
        <w:gridCol w:w="109"/>
        <w:gridCol w:w="307"/>
        <w:gridCol w:w="307"/>
        <w:gridCol w:w="308"/>
        <w:gridCol w:w="109"/>
        <w:gridCol w:w="109"/>
        <w:gridCol w:w="109"/>
        <w:gridCol w:w="533"/>
        <w:gridCol w:w="533"/>
        <w:gridCol w:w="760"/>
      </w:tblGrid>
      <w:tr>
        <w:trPr/>
        <w:tc>
          <w:tcPr>
            <w:tcW w:w="270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on which registered</w:t>
            </w:r>
          </w:p>
        </w:tc>
      </w:tr>
      <w:tr>
        <w:trPr/>
        <w:tc>
          <w:tcPr>
            <w:tcW w:w="6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at an exercise price of approximately $46.00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4, 2026, BuzzFeed, Inc. (the “Company”), issued a press release (the “Press Release”) announcing its financial results for the quarter ended June 30, 2026. The Company also announced that it would be holding a conference call on August 4, 2026 to discuss its financial results. A copy of the Press Release is furnished as Exhibit 99.1 to this Current Report on Form 8-K.</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included under Item 2.02 of this Current Report on Form 8-K and the exhibits hereto are being furnished and shall not be deemed “filed” for purposes of Section 18 of the Securities Exchange Act of 1934, as amended (the “Exchange Act”), or otherwise subject to the liabilities of that section, nor shall it been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360"/>
        <w:jc w:val="both"/>
        <w:rPr/>
      </w:pPr>
      <w:r>
        <w:rPr/>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Current Report on Form 8-K.</w:t>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845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42"/>
        <w:gridCol w:w="1942"/>
        <w:gridCol w:w="276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exhibit991q22026earnings.htm">
              <w:r>
                <w:rPr>
                  <w:rStyle w:val="InternetLink"/>
                  <w:rFonts w:ascii="Times New Roman;serif" w:hAnsi="Times New Roman;serif"/>
                  <w:b w:val="false"/>
                  <w:color w:val="0000FF"/>
                  <w:sz w:val="20"/>
                  <w:u w:val="single"/>
                </w:rPr>
                <w:t>Press Release Dated August 4,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558" w:type="dxa"/>
        <w:jc w:val="left"/>
        <w:tblInd w:w="0" w:type="dxa"/>
        <w:tblLayout w:type="fixed"/>
        <w:tblCellMar>
          <w:top w:w="28" w:type="dxa"/>
          <w:left w:w="28" w:type="dxa"/>
          <w:bottom w:w="28" w:type="dxa"/>
          <w:right w:w="28" w:type="dxa"/>
        </w:tblCellMar>
      </w:tblPr>
      <w:tblGrid>
        <w:gridCol w:w="200"/>
        <w:gridCol w:w="177"/>
        <w:gridCol w:w="178"/>
        <w:gridCol w:w="284"/>
        <w:gridCol w:w="284"/>
        <w:gridCol w:w="286"/>
        <w:gridCol w:w="215"/>
        <w:gridCol w:w="215"/>
        <w:gridCol w:w="215"/>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8/4/2026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BUZZFEED, INC. REPORTS Q2 2026 FINANCIAL RESULTS</w:t>
      </w:r>
    </w:p>
    <w:p>
      <w:pPr>
        <w:pStyle w:val="TextBody"/>
        <w:bidi w:val="0"/>
        <w:spacing w:before="0" w:after="200"/>
        <w:jc w:val="center"/>
        <w:rPr/>
      </w:pPr>
      <w:r>
        <w:rPr/>
      </w:r>
    </w:p>
    <w:p>
      <w:pPr>
        <w:pStyle w:val="TextBody"/>
        <w:bidi w:val="0"/>
        <w:spacing w:lineRule="auto" w:line="288" w:before="0" w:after="200"/>
        <w:jc w:val="left"/>
        <w:rPr/>
      </w:pPr>
      <w:r>
        <w:rPr>
          <w:rFonts w:ascii="Times New Roman;serif" w:hAnsi="Times New Roman;serif"/>
          <w:b/>
          <w:color w:val="000000"/>
          <w:sz w:val="20"/>
        </w:rPr>
        <w:t>NEW YORK – August 4, 2026</w:t>
      </w:r>
      <w:r>
        <w:rPr>
          <w:color w:val="000000"/>
        </w:rPr>
        <w:t xml:space="preserve"> – </w:t>
      </w:r>
      <w:r>
        <w:rPr>
          <w:rFonts w:ascii="Times New Roman;serif" w:hAnsi="Times New Roman;serif"/>
          <w:b w:val="false"/>
          <w:color w:val="212121"/>
          <w:sz w:val="20"/>
        </w:rPr>
        <w:t>BuzzFeed, Inc. (“BuzzFeed” or the “Company”) (Nasdaq: BZFD) today announced its financial results for the quarter ended June 30, 2026.</w:t>
      </w:r>
    </w:p>
    <w:p>
      <w:pPr>
        <w:pStyle w:val="TextBody"/>
        <w:bidi w:val="0"/>
        <w:spacing w:lineRule="auto" w:line="288" w:before="0" w:after="240"/>
        <w:jc w:val="left"/>
        <w:rPr/>
      </w:pPr>
      <w:r>
        <w:rPr>
          <w:color w:val="212121"/>
        </w:rPr>
        <w:t>“</w:t>
      </w:r>
      <w:r>
        <w:rPr>
          <w:rFonts w:ascii="Times New Roman;serif" w:hAnsi="Times New Roman;serif"/>
          <w:b w:val="false"/>
          <w:color w:val="212121"/>
          <w:sz w:val="20"/>
        </w:rPr>
        <w:t xml:space="preserve">BuzzFeed, Tasty, and HuffPost are strong, recognizable brands that have loyal users, but we made it clear on our last earnings call that these businesses were carrying an unsustainable cost structure, and a restructure was immediately needed,” said </w:t>
      </w:r>
      <w:r>
        <w:rPr>
          <w:rFonts w:ascii="Times New Roman;serif" w:hAnsi="Times New Roman;serif"/>
          <w:b/>
          <w:color w:val="212121"/>
          <w:sz w:val="20"/>
        </w:rPr>
        <w:t>Byron Allen, BuzzFeed Chairman and CEO</w:t>
      </w:r>
      <w:r>
        <w:rPr>
          <w:rFonts w:ascii="Times New Roman;serif" w:hAnsi="Times New Roman;serif"/>
          <w:b w:val="false"/>
          <w:color w:val="212121"/>
          <w:sz w:val="20"/>
        </w:rPr>
        <w:t xml:space="preserve">. “As such, we recently took steps to significantly reduce costs to better align our cost base with the underlying business, giving us the foundation to grow. I’m also excited to share that BuzzFeed has entered into a sales representation agreement with Allen Media Group (“AMG”), engaging AMG’s sales organization to expand monetization of BuzzFeed’s advertising inventory and give brands and agencies another point of entry to build campaigns spanning premium television, streaming, local broadcast, and digital-first media. I’m energized by what we’re building at BuzzFeed, and by the path we’re now on towards sustainable profitability, positive cash flow, and disciplined investment in our highest-growth priorities.” </w:t>
      </w:r>
    </w:p>
    <w:p>
      <w:pPr>
        <w:pStyle w:val="TextBody"/>
        <w:bidi w:val="0"/>
        <w:spacing w:lineRule="auto" w:line="288" w:before="0" w:after="240"/>
        <w:jc w:val="left"/>
        <w:rPr/>
      </w:pPr>
      <w:r>
        <w:rPr>
          <w:color w:val="212121"/>
        </w:rPr>
        <w:t>“</w:t>
      </w:r>
      <w:r>
        <w:rPr>
          <w:rFonts w:ascii="Times New Roman;serif" w:hAnsi="Times New Roman;serif"/>
          <w:b w:val="false"/>
          <w:color w:val="212121"/>
          <w:sz w:val="20"/>
        </w:rPr>
        <w:t xml:space="preserve">The changes we’ve made create the opportunity to build BuzzFeed differently,” said </w:t>
      </w:r>
      <w:r>
        <w:rPr>
          <w:rFonts w:ascii="Times New Roman;serif" w:hAnsi="Times New Roman;serif"/>
          <w:b/>
          <w:color w:val="212121"/>
          <w:sz w:val="20"/>
        </w:rPr>
        <w:t>Jonah Peretti, President of BuzzFeed AI</w:t>
      </w:r>
      <w:r>
        <w:rPr>
          <w:rFonts w:ascii="Times New Roman;serif" w:hAnsi="Times New Roman;serif"/>
          <w:b w:val="false"/>
          <w:color w:val="212121"/>
          <w:sz w:val="20"/>
        </w:rPr>
        <w:t xml:space="preserve">. “We’re shifting from a traditional publishing model to a true platform – one where our community, creators, and partners actively fuel our content ecosystem. That means a more flexible operating model in editorial, and new AI-supported tools in tech that keep human creativity at the core. This operational discipline gives us runway to innovate, transform, and build our next chapter.”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Financial Results and Operational Highlights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BuzzFeed delivered Q2 2026 revenues of $36.3 million, declining 21.8% compared to the second quarter of 2025</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color w:val="000000"/>
          <w:sz w:val="20"/>
          <w:shd w:fill="FFFFFF" w:val="clear"/>
        </w:rPr>
        <w:t xml:space="preserve">Advertising revenue </w:t>
      </w:r>
      <w:r>
        <w:rPr>
          <w:rFonts w:ascii="Times New Roman;serif" w:hAnsi="Times New Roman;serif"/>
          <w:b w:val="false"/>
          <w:color w:val="000000"/>
          <w:sz w:val="20"/>
          <w:shd w:fill="FFFFFF" w:val="clear"/>
        </w:rPr>
        <w:t>declined 23.4% year-over-year to $17.3 million.</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color w:val="000000"/>
          <w:sz w:val="20"/>
          <w:shd w:fill="FFFFFF" w:val="clear"/>
        </w:rPr>
        <w:t xml:space="preserve">Content revenue </w:t>
      </w:r>
      <w:r>
        <w:rPr>
          <w:rFonts w:ascii="Times New Roman;serif" w:hAnsi="Times New Roman;serif"/>
          <w:b w:val="false"/>
          <w:color w:val="000000"/>
          <w:sz w:val="20"/>
          <w:shd w:fill="FFFFFF" w:val="clear"/>
        </w:rPr>
        <w:t>declined 6.5% year-over-year to $10.0 million.</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color w:val="000000"/>
          <w:sz w:val="20"/>
          <w:shd w:fill="FFFFFF" w:val="clear"/>
        </w:rPr>
        <w:t xml:space="preserve">Commerce and other revenue </w:t>
      </w:r>
      <w:r>
        <w:rPr>
          <w:rFonts w:ascii="Times New Roman;serif" w:hAnsi="Times New Roman;serif"/>
          <w:b w:val="false"/>
          <w:color w:val="000000"/>
          <w:sz w:val="20"/>
          <w:shd w:fill="FFFFFF" w:val="clear"/>
        </w:rPr>
        <w:t>declined 31.4% year-over-year to $9.0 million.</w:t>
      </w:r>
    </w:p>
    <w:p>
      <w:pPr>
        <w:pStyle w:val="TextBody"/>
        <w:bidi w:val="0"/>
        <w:spacing w:lineRule="auto" w:line="288" w:before="0" w:after="120"/>
        <w:jc w:val="left"/>
        <w:rPr/>
      </w:pP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 xml:space="preserve">was $11.8 million, compared to a net loss of $10.6 million in Q2 2025. </w:t>
      </w:r>
    </w:p>
    <w:p>
      <w:pPr>
        <w:pStyle w:val="TextBody"/>
        <w:bidi w:val="0"/>
        <w:spacing w:lineRule="auto" w:line="288" w:before="0" w:after="120"/>
        <w:jc w:val="left"/>
        <w:rPr/>
      </w:pPr>
      <w:r>
        <w:rPr>
          <w:rFonts w:ascii="Times New Roman;serif" w:hAnsi="Times New Roman;serif"/>
          <w:b/>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was negative $1.7 million for Q2 2026, compared to positive $2.0 million in Q2 2025. </w:t>
      </w:r>
    </w:p>
    <w:p>
      <w:pPr>
        <w:pStyle w:val="TextBody"/>
        <w:bidi w:val="0"/>
        <w:spacing w:lineRule="auto" w:line="288" w:before="0" w:after="240"/>
        <w:jc w:val="left"/>
        <w:rPr/>
      </w:pPr>
      <w:r>
        <w:rPr>
          <w:rFonts w:ascii="Times New Roman;serif" w:hAnsi="Times New Roman;serif"/>
          <w:b w:val="false"/>
          <w:color w:val="000000"/>
          <w:sz w:val="20"/>
        </w:rPr>
        <w:t>In Q2 2026, audience</w:t>
      </w:r>
      <w:r>
        <w:rPr>
          <w:color w:val="000000"/>
        </w:rPr>
        <w:t xml:space="preserve"> </w:t>
      </w:r>
      <w:r>
        <w:rPr>
          <w:rFonts w:ascii="Times New Roman;serif" w:hAnsi="Times New Roman;serif"/>
          <w:b/>
          <w:color w:val="000000"/>
          <w:sz w:val="20"/>
        </w:rPr>
        <w:t>Time Spent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with our content totaled 62.3 million hours, reflecting an approximately 10.8% decline compared to Q2 2025.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Business and Content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BuzzFeed, the Company’s largest brand, maintained its position as the #1 brand in total U.S. time spent among any single media brand in its competitive set</w:t>
      </w:r>
      <w:r>
        <w:rPr>
          <w:rFonts w:ascii="Times New Roman;serif" w:hAnsi="Times New Roman;serif"/>
          <w:b w:val="false"/>
          <w:color w:val="000000"/>
          <w:sz w:val="13"/>
        </w:rPr>
        <w:t>3</w:t>
      </w:r>
      <w:r>
        <w:rPr>
          <w:rFonts w:ascii="Times New Roman;serif" w:hAnsi="Times New Roman;serif"/>
          <w:b w:val="false"/>
          <w:color w:val="000000"/>
          <w:sz w:val="20"/>
        </w:rPr>
        <w:t xml:space="preserve">, reaching 36.0 million hours in Q2 2026. </w:t>
      </w:r>
      <w:r>
        <w:rPr>
          <w:rFonts w:ascii="Times New Roman;serif" w:hAnsi="Times New Roman;serif"/>
          <w:b w:val="false"/>
          <w:color w:val="212121"/>
          <w:sz w:val="20"/>
        </w:rPr>
        <w:t>This significantly outpaced second-place People at 26.4 million hours.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HuffPost recorded 18.0 million hours in total U.S. time spent in Q2 2026, up 16% from last quarter, significantly outperforming competitors such as Vogue.com (4.1 million hours), The New Yorker (3.6 million hours), New York Magazine (2.6 million hours), Vanity Fair (1.9 million hours), Vox.com (0.9 million hours), and Bustle.com (0.5 million hours).</w:t>
      </w:r>
    </w:p>
    <w:p>
      <w:pPr>
        <w:pStyle w:val="TextBody"/>
        <w:bidi w:val="0"/>
        <w:spacing w:lineRule="auto" w:line="319"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As used throughout, Adjusted EBITDA is a non-GAAP financial measure. Refer to “Non-GAAP Financial Measures” below for a description of how it is calculated and the tables at the back of this earnings release for a reconciliation of our GAAP and non-GAAP financial results. Certain figures throughout this document may not foot due to rounding.</w:t>
      </w:r>
    </w:p>
    <w:p>
      <w:pPr>
        <w:pStyle w:val="TextBody"/>
        <w:bidi w:val="0"/>
        <w:spacing w:lineRule="auto" w:line="319"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Refer to the definition of “Time Spent” below.</w:t>
      </w:r>
    </w:p>
    <w:p>
      <w:pPr>
        <w:pStyle w:val="TextBody"/>
        <w:bidi w:val="0"/>
        <w:spacing w:lineRule="auto" w:line="319"/>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Competitive set includes People.com brand, Condé Nast Digital Group, Vox Media Group, Vogue.com, and Bustle.com.</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Direct visits and internal web and app referrals have taken up 65% of the U.S. traffic on BuzzFeed’s owned and operated properties, an increase from 61% from the prior quarter, reducing the brand’s reliance on distributed platforms and increasing its resilience to platform algorithm changes.</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First Half 2026 Results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color w:val="000000"/>
          <w:sz w:val="20"/>
          <w:shd w:fill="FFFFFF" w:val="clear"/>
        </w:rPr>
        <w:t>Total revenue</w:t>
      </w:r>
      <w:r>
        <w:rPr>
          <w:color w:val="000000"/>
          <w:shd w:fill="FFFFFF" w:val="clear"/>
        </w:rPr>
        <w:t xml:space="preserve"> </w:t>
      </w:r>
      <w:r>
        <w:rPr>
          <w:rFonts w:ascii="Times New Roman;serif" w:hAnsi="Times New Roman;serif"/>
          <w:b w:val="false"/>
          <w:color w:val="000000"/>
          <w:sz w:val="20"/>
          <w:shd w:fill="FFFFFF" w:val="clear"/>
        </w:rPr>
        <w:t>declined 17.7% to $67.9 million.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color w:val="000000"/>
          <w:sz w:val="20"/>
          <w:shd w:fill="FFFFFF" w:val="clear"/>
        </w:rPr>
        <w:t>Net loss</w:t>
      </w:r>
      <w:r>
        <w:rPr>
          <w:color w:val="000000"/>
          <w:shd w:fill="FFFFFF" w:val="clear"/>
        </w:rPr>
        <w:t xml:space="preserve"> </w:t>
      </w:r>
      <w:r>
        <w:rPr>
          <w:rFonts w:ascii="Times New Roman;serif" w:hAnsi="Times New Roman;serif"/>
          <w:b w:val="false"/>
          <w:color w:val="000000"/>
          <w:sz w:val="20"/>
          <w:shd w:fill="FFFFFF" w:val="clear"/>
        </w:rPr>
        <w:t>increased 16.8% to $27.0 million.</w:t>
      </w:r>
    </w:p>
    <w:p>
      <w:pPr>
        <w:pStyle w:val="TextBody"/>
        <w:bidi w:val="0"/>
        <w:spacing w:lineRule="auto" w:line="288" w:before="0" w:after="240"/>
        <w:ind w:left="0" w:right="0" w:hanging="360"/>
        <w:jc w:val="left"/>
        <w:rPr/>
      </w:pPr>
      <w:r>
        <w:rPr>
          <w:color w:val="000000"/>
          <w:shd w:fill="FFFFFF" w:val="clear"/>
        </w:rPr>
        <w:t>●</w:t>
      </w:r>
      <w:r>
        <w:rPr>
          <w:rFonts w:ascii="Times New Roman;serif" w:hAnsi="Times New Roman;serif"/>
          <w:b/>
          <w:color w:val="000000"/>
          <w:sz w:val="20"/>
          <w:shd w:fill="FFFFFF" w:val="clear"/>
        </w:rPr>
        <w:t>Adjusted EBITDA</w:t>
      </w:r>
      <w:r>
        <w:rPr>
          <w:color w:val="000000"/>
          <w:shd w:fill="FFFFFF" w:val="clear"/>
        </w:rPr>
        <w:t xml:space="preserve"> </w:t>
      </w:r>
      <w:r>
        <w:rPr>
          <w:rFonts w:ascii="Times New Roman;serif" w:hAnsi="Times New Roman;serif"/>
          <w:b w:val="false"/>
          <w:color w:val="000000"/>
          <w:sz w:val="20"/>
          <w:shd w:fill="FFFFFF" w:val="clear"/>
        </w:rPr>
        <w:t>loss increased by $5.6 million to negative $9.5 million.</w:t>
      </w:r>
    </w:p>
    <w:p>
      <w:pPr>
        <w:pStyle w:val="TextBody"/>
        <w:bidi w:val="0"/>
        <w:spacing w:lineRule="auto" w:line="319" w:before="0" w:after="0"/>
        <w:jc w:val="left"/>
        <w:rPr>
          <w:rFonts w:ascii="Times New Roman;serif" w:hAnsi="Times New Roman;serif"/>
          <w:b/>
          <w:color w:val="000000"/>
          <w:sz w:val="20"/>
          <w:u w:val="single"/>
        </w:rPr>
      </w:pPr>
      <w:r>
        <w:rPr>
          <w:rFonts w:ascii="Times New Roman;serif" w:hAnsi="Times New Roman;serif"/>
          <w:b/>
          <w:color w:val="000000"/>
          <w:sz w:val="20"/>
          <w:u w:val="single"/>
        </w:rPr>
        <w:t>Full Year 2026 Financial Outlook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transformation underway, we are focused on full-year operational targets rather than quarterly guidance. As the restructuring and platform transition progresses, we expect to provide investors with a more complete financial outlook.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 xml:space="preserve">Quarterly Conference Call </w:t>
      </w:r>
    </w:p>
    <w:p>
      <w:pPr>
        <w:pStyle w:val="TextBody"/>
        <w:bidi w:val="0"/>
        <w:spacing w:lineRule="auto" w:line="288" w:before="0" w:after="240"/>
        <w:jc w:val="left"/>
        <w:rPr/>
      </w:pPr>
      <w:r>
        <w:rPr>
          <w:rFonts w:ascii="Times New Roman;serif" w:hAnsi="Times New Roman;serif"/>
          <w:b w:val="false"/>
          <w:color w:val="000000"/>
          <w:sz w:val="20"/>
        </w:rPr>
        <w:t>BuzzFeed’s management team will hold a conference call to discuss our second quarter 2026 results today, August 4, at 5 PM ET. The call will be available via webcast at investors.buzzfeed.com under the headin</w:t>
      </w:r>
      <w:r>
        <w:rPr>
          <w:rFonts w:ascii="Times New Roman;serif" w:hAnsi="Times New Roman;serif"/>
          <w:b w:val="false"/>
          <w:color w:val="222222"/>
          <w:sz w:val="20"/>
        </w:rPr>
        <w:t xml:space="preserve">g News and Events, and parties interested in participating must register in advance at the same location. Upon registration, all telephone participants will receive a confirmation email detailing how to join the conference call, including the dial-in number along with a unique PIN that can be used to access the call. While it is not required, it is recommended you join 5 minutes prior to the event start time. A replay of the call will be made available at the same URL.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used, and intend to continue to use, the Investor Relations section of our website at investors.buzzfeed.com as a means of disclosing material nonpublic information and for complying with our disclosure obligations under Regulation FD.</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Definitions</w:t>
      </w:r>
    </w:p>
    <w:p>
      <w:pPr>
        <w:pStyle w:val="TextBody"/>
        <w:bidi w:val="0"/>
        <w:spacing w:lineRule="auto" w:line="288" w:before="0" w:after="240"/>
        <w:jc w:val="left"/>
        <w:rPr/>
      </w:pPr>
      <w:r>
        <w:rPr>
          <w:rFonts w:ascii="Times New Roman;serif" w:hAnsi="Times New Roman;serif"/>
          <w:b w:val="false"/>
          <w:color w:val="000000"/>
          <w:sz w:val="20"/>
        </w:rPr>
        <w:t xml:space="preserve">BuzzFeed reports revenues across three primary business lines: </w:t>
      </w:r>
      <w:r>
        <w:rPr>
          <w:rFonts w:ascii="Times New Roman;serif" w:hAnsi="Times New Roman;serif"/>
          <w:b/>
          <w:color w:val="000000"/>
          <w:sz w:val="20"/>
        </w:rPr>
        <w:t>Advertising, Content, and Commerce</w:t>
      </w:r>
      <w:r>
        <w:rPr>
          <w:color w:val="000000"/>
        </w:rPr>
        <w:t xml:space="preserve"> </w:t>
      </w:r>
      <w:r>
        <w:rPr>
          <w:rFonts w:ascii="Times New Roman;serif" w:hAnsi="Times New Roman;serif"/>
          <w:b w:val="false"/>
          <w:color w:val="000000"/>
          <w:sz w:val="20"/>
        </w:rPr>
        <w:t>and other. The definition of “</w:t>
      </w:r>
      <w:r>
        <w:rPr>
          <w:rFonts w:ascii="Times New Roman;serif" w:hAnsi="Times New Roman;serif"/>
          <w:b/>
          <w:color w:val="000000"/>
          <w:sz w:val="20"/>
        </w:rPr>
        <w:t>Time Spent</w:t>
      </w:r>
      <w:r>
        <w:rPr>
          <w:color w:val="000000"/>
        </w:rPr>
        <w:t xml:space="preserve">” </w:t>
      </w:r>
      <w:r>
        <w:rPr>
          <w:rFonts w:ascii="Times New Roman;serif" w:hAnsi="Times New Roman;serif"/>
          <w:b w:val="false"/>
          <w:color w:val="000000"/>
          <w:sz w:val="20"/>
        </w:rPr>
        <w:t>is also set forth below.</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Advertising revenues</w:t>
      </w:r>
      <w:r>
        <w:rPr>
          <w:color w:val="000000"/>
        </w:rPr>
        <w:t xml:space="preserve"> </w:t>
      </w:r>
      <w:r>
        <w:rPr>
          <w:rFonts w:ascii="Times New Roman;serif" w:hAnsi="Times New Roman;serif"/>
          <w:b w:val="false"/>
          <w:color w:val="000000"/>
          <w:sz w:val="20"/>
        </w:rPr>
        <w:t xml:space="preserve">are primarily generated from advertisers, both programmatically and directly, for ads distributed against our editorial and news content, including display, pre-roll and mid-roll video products. We distribute these ad products across our owned and operated sites as well as third-party platforms, primarily YouTube and Apple News. </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 xml:space="preserve">Content revenues </w:t>
      </w:r>
      <w:r>
        <w:rPr>
          <w:rFonts w:ascii="Times New Roman;serif" w:hAnsi="Times New Roman;serif"/>
          <w:b w:val="false"/>
          <w:color w:val="000000"/>
          <w:sz w:val="20"/>
        </w:rPr>
        <w:t xml:space="preserve">are primarily generated from clients for custom assets, including both long-form and short-form content, from branded quizzes to Instagram takeovers to sponsored content. Studio generally includes revenue from films, micro-dramas, content licensing, TV projects, and other projects inspired by BuzzFeed IP. </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Commerce and other revenues</w:t>
      </w:r>
      <w:r>
        <w:rPr>
          <w:color w:val="000000"/>
        </w:rPr>
        <w:t xml:space="preserve"> </w:t>
      </w:r>
      <w:r>
        <w:rPr>
          <w:rFonts w:ascii="Times New Roman;serif" w:hAnsi="Times New Roman;serif"/>
          <w:b w:val="false"/>
          <w:color w:val="000000"/>
          <w:sz w:val="20"/>
        </w:rPr>
        <w:t xml:space="preserve">consist primarily of affiliate commissions earned on transactions initiated from our editorial shopping content. Revenues from our product licensing businesses are also included here. </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 xml:space="preserve">Time Spent </w:t>
      </w:r>
      <w:r>
        <w:rPr>
          <w:rFonts w:ascii="Times New Roman;serif" w:hAnsi="Times New Roman;serif"/>
          <w:b w:val="false"/>
          <w:color w:val="000000"/>
          <w:sz w:val="20"/>
        </w:rPr>
        <w:t xml:space="preserve">captures the time audiences spend engaging with our content across our owned and operated sites, as well as YouTube and Apple News, as measured by Comscore. This metric excludes time spent with our content on platforms for which we have minimal advertising capabilities that contribute to our Advertising revenues, including Instagram, TikTok, Facebook, Snapchat, and X (formerly Twitter). There 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About BuzzFeed, Inc.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BuzzFeed, Inc. is home to the best of the Internet. Across pop culture, entertainment, shopping, food, and news, our brands drive conversation and inspire what audiences watch, read, and buy now — and into the future. Born on the Internet in 2006, BuzzFeed is committed to making it better: providing trusted, quality, brand-safe news and entertainment to hundreds of millions of people; making content on the Internet more inclusive, empathetic, and creative; and inspiring our audience to live better lives.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non-GAAP financial measures and represent key metrics used by management and our board of directors to measure the operational strength and performance of our business, to establish budgets, and to develop operational goals for managing our business. We define Adjusted EBITDA as net loss, excluding the impact of net income (loss) attributable to noncontrolling interests, income tax provision, interest expense, net, other (income) expense, net, depreciation and amortization, stock-based compensation, change in fair value of warrant liabilities, restructuring costs, amortization of capitalized interest for content, loss on early termination of lease, and other non-cash and non-recurring items that management believes are not indicative of ongoing operations. Adjusted EBITDA margin is calculated by dividing Adjusted EBITDA by revenue for the same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Adjusted EBITDA and Adjusted EBITDA margin are relevant and useful information for investors because they allow investors to view performance in a manner similar to the method used by our management. There are limitations to the use of Adjusted EBITDA and Adjusted EBITDA margin, and our Adjusted EBITDA and Adjusted EBITDA margin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should not be considered a substitute for measures prepared in accordance with GAAP. Reconciliations of non-GAAP financial measures to the most directly comparable financial results as determined in accordance with GAAP are included at the end of this press release following the accompanying financial data.</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press release may be considered forward-looking statements within the meaning of Section 27A of the Securities Act of 1933, as amended, and Section 21E of the Securities Exchange Act of 1934, as amended,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The forward-looking statements contained in this press release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(1) macroeconomic factors including: adverse economic conditions in the United States and globally, including the potential onset of recession; actual or potential government shutdowns or failure to raise the U.S. federal debt ceiling; current global supply chain disruptions; the ongoing conflicts in the Middle East and between Russia and Ukraine and any related sanctions and geopolitical tensions, and further escalation of trade tensions between the U.S. and its trading partners; tariffs; the inflationary environment; and the competitive labor market; (2) developments relating to our competitors and the digital media industry, including overall demand of advertising in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markets in which we operate; (3) demand for our products and services or changes in traffic or engagement with our brands and content; (4) changes in the business and competitive environment in which we and our current and prospective partners and advertisers operate; (5) our future capital requirements, including, but not limited to, our ability to obtain additional capital in the future, any restrictions imposed by, or commitments under, agreements governing any future indebtedness, and any restrictions on our ability to access our cash and cash equivalents; (6) developments in the law and government regulation, including, but not limited to, revised foreign content and ownership regulations, and the outcomes of legal proceedings, regulatory disputes, or governmental investigations to which we are subject; (7) the benefits of our restructuring; (8) our success divesting of companies, assets, or brands we sell, or in integrating and supporting the companies we acquire; (9) our success in launching new products or platforms, including any new social media platform; (10) technological developments including artificial intelligence; (11) our success in retaining or recruiting, or changes required in, officers, other key employees or directors; (12) use of content creators and on-camera talent and relationships with third parties managing certain of our branded operations outside of the United States; (13) the security of our information technology systems or data; (14) disruption in our service, or by our failure to timely and effectively scale and adapt our existing technology and infrastructure; (15) our ability to maintain the listing of our Class A common stock and warrants on The Nasdaq Stock Market LLC; (16) risks related to the Company’s liquidity and cash flow, including the ability of the Company to comply with debt service requirements and covenants contained in its credit facility; (17) risks related to the Stock Purchase Agreement and Director Appointment Agreement entered into by the Company with Allen Family Digital, LLC, including potentially adverse impacts on our business, results of operations, and stock price; and (18) those factors described under the sections entitled “Risk Factors” in the Company’s annual and quarterly filings with the Securities and Exchange Commission.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Contacts</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Public Relations Contact: </w:t>
      </w:r>
      <w:r>
        <w:rPr>
          <w:rFonts w:ascii="Times New Roman;serif" w:hAnsi="Times New Roman;serif"/>
          <w:b w:val="false"/>
          <w:color w:val="1155CC"/>
          <w:sz w:val="20"/>
          <w:u w:val="single"/>
          <w:shd w:fill="FFFFFF" w:val="clear"/>
        </w:rPr>
        <w:t>pr@buzzfeed.com</w:t>
      </w:r>
    </w:p>
    <w:p>
      <w:pPr>
        <w:pStyle w:val="TextBody"/>
        <w:bidi w:val="0"/>
        <w:spacing w:lineRule="auto" w:line="288" w:before="0" w:after="120"/>
        <w:jc w:val="left"/>
        <w:rPr/>
      </w:pPr>
      <w:r>
        <w:rPr>
          <w:rFonts w:ascii="Times New Roman;serif" w:hAnsi="Times New Roman;serif"/>
          <w:b w:val="false"/>
          <w:color w:val="000000"/>
          <w:sz w:val="20"/>
          <w:shd w:fill="FFFFFF" w:val="clear"/>
        </w:rPr>
        <w:t>Investor Relations Contact:</w:t>
      </w:r>
      <w:r>
        <w:rPr>
          <w:color w:val="000000"/>
          <w:shd w:fill="FFFFFF" w:val="clear"/>
        </w:rPr>
        <w:t xml:space="preserve"> </w:t>
      </w:r>
      <w:r>
        <w:rPr>
          <w:rFonts w:ascii="Times New Roman;serif" w:hAnsi="Times New Roman;serif"/>
          <w:b w:val="false"/>
          <w:color w:val="1155CC"/>
          <w:sz w:val="20"/>
          <w:u w:val="single"/>
          <w:shd w:fill="FFFFFF" w:val="clear"/>
        </w:rPr>
        <w:t>investors@buzzfeed.com</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BUZZFEED,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(Unaudited, dollars in thousands)</w:t>
      </w:r>
    </w:p>
    <w:p>
      <w:pPr>
        <w:pStyle w:val="TextBody"/>
        <w:bidi w:val="0"/>
        <w:spacing w:before="0" w:after="0"/>
        <w:jc w:val="center"/>
        <w:rPr/>
      </w:pPr>
      <w:r>
        <w:rPr/>
      </w:r>
    </w:p>
    <w:p>
      <w:pPr>
        <w:pStyle w:val="TextBody"/>
        <w:bidi w:val="0"/>
        <w:spacing w:before="0" w:after="0"/>
        <w:jc w:val="center"/>
        <w:rPr/>
      </w:pPr>
      <w:r>
        <w:rPr/>
      </w:r>
    </w:p>
    <w:tbl>
      <w:tblPr>
        <w:tblW w:w="9839" w:type="dxa"/>
        <w:jc w:val="center"/>
        <w:tblInd w:w="0" w:type="dxa"/>
        <w:tblLayout w:type="fixed"/>
        <w:tblCellMar>
          <w:top w:w="28" w:type="dxa"/>
          <w:left w:w="28" w:type="dxa"/>
          <w:bottom w:w="28" w:type="dxa"/>
          <w:right w:w="28" w:type="dxa"/>
        </w:tblCellMar>
      </w:tblPr>
      <w:tblGrid>
        <w:gridCol w:w="656"/>
        <w:gridCol w:w="578"/>
        <w:gridCol w:w="581"/>
        <w:gridCol w:w="211"/>
        <w:gridCol w:w="796"/>
        <w:gridCol w:w="109"/>
        <w:gridCol w:w="109"/>
        <w:gridCol w:w="109"/>
        <w:gridCol w:w="109"/>
        <w:gridCol w:w="211"/>
        <w:gridCol w:w="796"/>
        <w:gridCol w:w="109"/>
        <w:gridCol w:w="109"/>
        <w:gridCol w:w="109"/>
        <w:gridCol w:w="109"/>
        <w:gridCol w:w="218"/>
        <w:gridCol w:w="218"/>
        <w:gridCol w:w="483"/>
        <w:gridCol w:w="109"/>
        <w:gridCol w:w="109"/>
        <w:gridCol w:w="109"/>
        <w:gridCol w:w="211"/>
        <w:gridCol w:w="796"/>
        <w:gridCol w:w="109"/>
        <w:gridCol w:w="109"/>
        <w:gridCol w:w="109"/>
        <w:gridCol w:w="109"/>
        <w:gridCol w:w="211"/>
        <w:gridCol w:w="796"/>
        <w:gridCol w:w="109"/>
        <w:gridCol w:w="109"/>
        <w:gridCol w:w="109"/>
        <w:gridCol w:w="109"/>
        <w:gridCol w:w="218"/>
        <w:gridCol w:w="218"/>
        <w:gridCol w:w="570"/>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8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7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7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7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before="0" w:after="0"/>
        <w:jc w:val="center"/>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NM: percentage is not meaningful.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BUZZFEED,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(Unaudited, dollars and shares in thousands, except per share amounts)</w:t>
      </w:r>
    </w:p>
    <w:tbl>
      <w:tblPr>
        <w:tblW w:w="10205" w:type="dxa"/>
        <w:jc w:val="center"/>
        <w:tblInd w:w="0" w:type="dxa"/>
        <w:tblLayout w:type="fixed"/>
        <w:tblCellMar>
          <w:top w:w="28" w:type="dxa"/>
          <w:left w:w="28" w:type="dxa"/>
          <w:bottom w:w="28" w:type="dxa"/>
          <w:right w:w="28" w:type="dxa"/>
        </w:tblCellMar>
      </w:tblPr>
      <w:tblGrid>
        <w:gridCol w:w="2736"/>
        <w:gridCol w:w="2261"/>
        <w:gridCol w:w="2238"/>
        <w:gridCol w:w="282"/>
        <w:gridCol w:w="1082"/>
        <w:gridCol w:w="156"/>
        <w:gridCol w:w="109"/>
        <w:gridCol w:w="109"/>
        <w:gridCol w:w="109"/>
        <w:gridCol w:w="199"/>
        <w:gridCol w:w="763"/>
        <w:gridCol w:w="161"/>
      </w:tblGrid>
      <w:tr>
        <w:trPr/>
        <w:tc>
          <w:tcPr>
            <w:tcW w:w="2736"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82"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$206 and $683 as at June 30, 2026 and December 31, 2025,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45,496 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16,411 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62,973 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86,122 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4,504 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23,002 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24,245 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10,167 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Film costs,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18,683 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19,397 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restricted cash</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16"/>
              </w:rPr>
              <w:t>151,067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16"/>
              </w:rPr>
              <w:t>188,139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8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16,797 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19,548 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12,538 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12,411 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7,405 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8,305 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12,706 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30,524 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4,319 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62,392 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95,218 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14,725 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26,298 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27,861 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16"/>
              </w:rPr>
              <w:t>99,695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16"/>
              </w:rPr>
              <w:t>138,054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44"/>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700,000 shares authorized; 83,301 and 37,857 shares issued; 83,301 and 36,030 shares outstanding at June 30, 2026 and December 31, 2025, respectively</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44"/>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20,000 shares authorized; 33 and 1,343 shares issued and outstanding at June 30, 2026 and December 31, 2025,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861,574 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735,992 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(706,517)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(679,588)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(3,887)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 0 and 1,827 shares at June 30, 2026 and December 31, 2025,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Stock subscription receivable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(100,479)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 BuzzFeed, Inc. stockholders’ equity</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50,699 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49,361 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51,372 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50,085 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16"/>
              </w:rPr>
              <w:t>151,067</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16"/>
              </w:rPr>
              <w:t>188,139</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BUZZFEED,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(Unaudited, dollars and shares in thousands,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4"/>
        <w:gridCol w:w="1478"/>
        <w:gridCol w:w="1496"/>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211"/>
        <w:gridCol w:w="782"/>
        <w:gridCol w:w="157"/>
      </w:tblGrid>
      <w:tr>
        <w:trPr/>
        <w:tc>
          <w:tcPr>
            <w:tcW w:w="179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99,623 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(22,675)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holders of Class A and Class B common stock:</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Class A and Class B common share:</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38,380</w:t>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BUZZFEED,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(Unaudited, USD in thousands)</w:t>
      </w:r>
    </w:p>
    <w:tbl>
      <w:tblPr>
        <w:tblW w:w="8933" w:type="dxa"/>
        <w:jc w:val="center"/>
        <w:tblInd w:w="0" w:type="dxa"/>
        <w:tblLayout w:type="fixed"/>
        <w:tblCellMar>
          <w:top w:w="28" w:type="dxa"/>
          <w:left w:w="28" w:type="dxa"/>
          <w:bottom w:w="28" w:type="dxa"/>
          <w:right w:w="28" w:type="dxa"/>
        </w:tblCellMar>
      </w:tblPr>
      <w:tblGrid>
        <w:gridCol w:w="2446"/>
        <w:gridCol w:w="2142"/>
        <w:gridCol w:w="2161"/>
        <w:gridCol w:w="181"/>
        <w:gridCol w:w="616"/>
        <w:gridCol w:w="109"/>
        <w:gridCol w:w="109"/>
        <w:gridCol w:w="109"/>
        <w:gridCol w:w="109"/>
        <w:gridCol w:w="181"/>
        <w:gridCol w:w="61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Operating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(23,088)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Adjustments to reconcile net loss to cash used in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8,709 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Unrealized gain on foreign currency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Stock-based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Change in fair value of warrants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Amortization of debt discount and deferred issuance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income tax</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Non-cash portion of early termination on lease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Non-cash lease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Changes in operating assets and liabilities: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13,787 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 and other current assets and prepaid expenses and 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Film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Accrued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 xml:space="preserve">Accrued expenses, other current liabilities, and other liabilities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used in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(8,755)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Investing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Capital expenditures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Capitalization of internal-use software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(6,890)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Business combinations, net of cash acquired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asset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used in investing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(7,128)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(7,116)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Financing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Borrowings from Term Loan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39,175 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Borrowings from film financing arrangements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co-financing arrangements for feature films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issuance of common stock in connection with Stock Purchase Agreement, net of issuance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private placements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on Convertible Notes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of consent solicitation fees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on Term Loan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of Term Loan's debt issuance / modification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(687)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of film financing arrangements for feature films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common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Payment for shares withheld for employee taxes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of at-the-market offering issuance costs,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provided by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Effect of currency translation on cash and cash equivalents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Net decrease in cash and cash equivalents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(7,916)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(8,942)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and restricted cash at beginning of period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38,648 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and restricted cash at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19,823 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29,706 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 xml:space="preserve">BUZZFEED, INC. </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(Unaudited, USD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92"/>
        <w:gridCol w:w="1176"/>
        <w:gridCol w:w="1198"/>
        <w:gridCol w:w="109"/>
        <w:gridCol w:w="109"/>
        <w:gridCol w:w="109"/>
        <w:gridCol w:w="211"/>
        <w:gridCol w:w="789"/>
        <w:gridCol w:w="271"/>
        <w:gridCol w:w="109"/>
        <w:gridCol w:w="109"/>
        <w:gridCol w:w="109"/>
        <w:gridCol w:w="211"/>
        <w:gridCol w:w="789"/>
        <w:gridCol w:w="271"/>
        <w:gridCol w:w="109"/>
        <w:gridCol w:w="109"/>
        <w:gridCol w:w="109"/>
        <w:gridCol w:w="211"/>
        <w:gridCol w:w="789"/>
        <w:gridCol w:w="271"/>
        <w:gridCol w:w="109"/>
        <w:gridCol w:w="109"/>
        <w:gridCol w:w="109"/>
        <w:gridCol w:w="211"/>
        <w:gridCol w:w="789"/>
        <w:gridCol w:w="318"/>
      </w:tblGrid>
      <w:tr>
        <w:trPr/>
        <w:tc>
          <w:tcPr>
            <w:tcW w:w="139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Amortization of capitalized interest for content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Loss on early termination of lease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Net loss as a percentage of revenue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1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(1) We exclude restructuring expenses from our non-GAAP measures because we believe they do not reflect expected future operating expenses, they are not indicative of our core operating performance, and they are not meaningful in comparison to our past operating performance.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 Reflects the non-cash amortization of interest costs that were capitalized as part of capitalized film costs; this add-back aligns the treatment of capitalized interest with the exclusion of interest expense from Adjusted EBITDA.</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 xml:space="preserve">Reflects the loss on the early termination of a lease related to our office space in London, England. We exclude losses associated with early terminations of leases from our non-GAAP measures because we believe they do not reflect expected future operating expenses, they are not indicative of our core operating performance, and they are not meaningful in comparisons to our past operating performance.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(4) Net loss as a percentage of revenue is included as the most comparable GAAP measure to Adjusted EBITDA margin, which is a non-GAAP measure.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4081</Words>
  <Characters>23202</Characters>
  <CharactersWithSpaces>26840</CharactersWithSpaces>
  <Paragraphs>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