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122555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December 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BuzzFeed,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6" w:lineRule="exact"/>
        <w:rPr>
          <w:sz w:val="24"/>
          <w:szCs w:val="24"/>
          <w:color w:val="auto"/>
        </w:rPr>
      </w:pPr>
    </w:p>
    <w:tbl>
      <w:tblPr>
        <w:tblLayout w:type="fixed"/>
        <w:tblInd w:w="1000" w:type="dxa"/>
        <w:tblCellMar>
          <w:top w:w="0" w:type="dxa"/>
          <w:left w:w="0" w:type="dxa"/>
          <w:bottom w:w="0" w:type="dxa"/>
          <w:right w:w="0" w:type="dxa"/>
        </w:tblCellMar>
      </w:tblPr>
      <w:tr>
        <w:trPr>
          <w:trHeight w:val="220"/>
        </w:trPr>
        <w:tc>
          <w:tcPr>
            <w:tcW w:w="312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000004"/>
                <w:w w:val="99"/>
              </w:rPr>
              <w:t>001-39877</w:t>
            </w:r>
          </w:p>
        </w:tc>
        <w:tc>
          <w:tcPr>
            <w:tcW w:w="278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85-3022075</w:t>
            </w:r>
          </w:p>
        </w:tc>
      </w:tr>
      <w:tr>
        <w:trPr>
          <w:trHeight w:val="216"/>
        </w:trPr>
        <w:tc>
          <w:tcPr>
            <w:tcW w:w="3120" w:type="dxa"/>
            <w:vAlign w:val="bottom"/>
          </w:tcPr>
          <w:p>
            <w:pPr>
              <w:jc w:val="center"/>
              <w:ind w:right="91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(Commission</w:t>
            </w:r>
          </w:p>
        </w:tc>
        <w:tc>
          <w:tcPr>
            <w:tcW w:w="27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2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File Number)</w:t>
            </w:r>
          </w:p>
        </w:tc>
        <w:tc>
          <w:tcPr>
            <w:tcW w:w="278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229 West 43rd Street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 York, New York 10036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registrant’s principal executive offices, and zip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(646) 589-8592</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73"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 pursuant to Rule 425 under the Securities Act (17 CFR 230.425)</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14d-2(b) under the Exchange Act (17 CFR 240.14d-2(b))</w:t>
      </w:r>
    </w:p>
    <w:p>
      <w:pPr>
        <w:spacing w:after="0" w:line="63"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 pursuant to Rule 13e-4(c) under the Exchange Act (17 CFR 240.13e-4(c))</w:t>
      </w:r>
    </w:p>
    <w:p>
      <w:pPr>
        <w:spacing w:after="0" w:line="15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r>
        <w:trPr>
          <w:trHeight w:val="342"/>
        </w:trPr>
        <w:tc>
          <w:tcPr>
            <w:tcW w:w="4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4960" w:type="dxa"/>
            <w:vAlign w:val="bottom"/>
            <w:tcBorders>
              <w:bottom w:val="single" w:sz="8" w:color="auto"/>
            </w:tcBorders>
          </w:tcPr>
          <w:p>
            <w:pPr>
              <w:ind w:left="18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40" w:type="dxa"/>
            <w:vAlign w:val="bottom"/>
          </w:tcPr>
          <w:p>
            <w:pPr>
              <w:spacing w:after="0"/>
              <w:rPr>
                <w:sz w:val="20"/>
                <w:szCs w:val="20"/>
                <w:color w:val="auto"/>
              </w:rPr>
            </w:pPr>
          </w:p>
        </w:tc>
        <w:tc>
          <w:tcPr>
            <w:tcW w:w="2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220" w:type="dxa"/>
            <w:vAlign w:val="bottom"/>
          </w:tcPr>
          <w:p>
            <w:pPr>
              <w:spacing w:after="0"/>
              <w:rPr>
                <w:sz w:val="20"/>
                <w:szCs w:val="20"/>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on which registered</w:t>
            </w:r>
          </w:p>
        </w:tc>
      </w:tr>
      <w:tr>
        <w:trPr>
          <w:trHeight w:val="26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A Common Stock, $0.0001 par value per share</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BZFD</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5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Redeemable warrants, each whole warrant exercisable for one share</w:t>
            </w:r>
          </w:p>
        </w:tc>
        <w:tc>
          <w:tcPr>
            <w:tcW w:w="2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BZFDW</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Class A Common Stock at an exercise price of $11.50 per share</w:t>
            </w: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360" w:type="dxa"/>
            <w:vAlign w:val="bottom"/>
          </w:tcPr>
          <w:p>
            <w:pPr>
              <w:spacing w:after="0"/>
              <w:rPr>
                <w:sz w:val="20"/>
                <w:szCs w:val="20"/>
                <w:color w:val="auto"/>
              </w:rPr>
            </w:pPr>
          </w:p>
        </w:tc>
      </w:tr>
    </w:tbl>
    <w:p>
      <w:pPr>
        <w:spacing w:after="0" w:line="13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6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494030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2.05 Costs Associated with Exit or Disposal Activities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December 6, 2022, BuzzFeed,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announced plans to reduce expenses by implementing an approximately twelve (12) percent reduction in the current workforce. A copy of the communication to impacted individuals is attached as Exhibit 99.1 to this report.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reduction in workforce plan is intended to reduce the Company’s costs in response to a combination of factors, including (i) challenging macroeconomic conditions; (ii) completing the integration of Complex Media, Inc. d/b/a Complex Networks and eliminating redundancies where they exist in both functions and teams; and (iii) an ongoing audience shift to short-form, vertical video, which is still developing from a monetization standpoint. The Company expects to substantially complete the workforce reduction plan by the end of the first quarter of 2023.</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 required, worker adjustment and retraining notification (“WARN”) shall be given. In addition, all eligible employees shall be offered severance benefits in exchange for the execution of a separation and release agreement.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workforce reduction, senior executives subject to the Company’s Change in Control and Severance Plan will receive severance in accordance therewith, contingent on their execution of a separation and release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expects to recognize restructuring charges in connection with the workforce reduction plan including, but not limited to, the cost of providing, where required, WARN notice; and severance, including outplacement services and benefits continuation. We estimate that the foregoing charges will range between $8 million to $12 million, and we expect that the charges will be recognized primarily in the fourth quarter of 2022, with the majority of such charges anticipated to be paid by the end of the first quarter of 2023. The substantial majority of these charges will result in cash expenditures.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 Disclaimer</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disclosure contained in this current report contains forward-looking statements, including statements concerning the expected timing, charges and costs associated with the planned workforce reductions. These forward-looking statements are based on the Company’s current expectations and inherently involve risks and uncertainties. The actual timing, charges and costs could differ materially from those anticipated in such forward-looking statements as a result of these risks and uncertainties. Factors that could cause actual results to differ materially from the statements included in this current report include difficulties encountered in implementing the planned workforce reductions such as litigation or other claims arising out of the reduction. Further information on potential factors that could affect the Company’s business and financial results are included in the Company’s Annual Report on Form 10-K for the year ended on December 31, 2021 and in its Quarterly Report on Form 10-Q for the quarters ended March 31, 2022, June 30, 2022 and September 30, 2022. We do not undertake any obligation to update or revise any forward-looking statements, whether as a result of new information, future events or otherwise, except as may be required under applicable securities laws.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4720" w:type="dxa"/>
            <w:vAlign w:val="bottom"/>
          </w:tcPr>
          <w:p>
            <w:pPr>
              <w:spacing w:after="0"/>
              <w:rPr>
                <w:sz w:val="20"/>
                <w:szCs w:val="20"/>
                <w:color w:val="auto"/>
              </w:rPr>
            </w:pPr>
          </w:p>
        </w:tc>
        <w:tc>
          <w:tcPr>
            <w:tcW w:w="4700" w:type="dxa"/>
            <w:vAlign w:val="bottom"/>
          </w:tcPr>
          <w:p>
            <w:pPr>
              <w:spacing w:after="0"/>
              <w:rPr>
                <w:sz w:val="20"/>
                <w:szCs w:val="20"/>
                <w:color w:val="auto"/>
              </w:rPr>
            </w:pPr>
          </w:p>
        </w:tc>
      </w:tr>
      <w:tr>
        <w:trPr>
          <w:trHeight w:val="43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2"/>
        </w:trPr>
        <w:tc>
          <w:tcPr>
            <w:tcW w:w="18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Communication to Impacted Individuals dated December 6, 2022</w:t>
            </w:r>
          </w:p>
        </w:tc>
      </w:tr>
      <w:tr>
        <w:trPr>
          <w:trHeight w:val="20"/>
        </w:trPr>
        <w:tc>
          <w:tcPr>
            <w:tcW w:w="32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720" w:type="dxa"/>
            <w:vAlign w:val="bottom"/>
            <w:shd w:val="clear" w:color="auto" w:fill="0000EE"/>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500" w:type="dxa"/>
            <w:vAlign w:val="bottom"/>
          </w:tcPr>
          <w:p>
            <w:pPr>
              <w:spacing w:after="0"/>
              <w:rPr>
                <w:sz w:val="20"/>
                <w:szCs w:val="20"/>
                <w:color w:val="auto"/>
              </w:rPr>
            </w:pPr>
          </w:p>
        </w:tc>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Date:</w:t>
        <w:tab/>
        <w:t>December 6, 2022</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BuzzFeed,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Felicia DellaFortuna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Felicia DellaFortuna</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Jonah Peretti’s Message to Impacted Individuals: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6, 2022</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I am writing to announce some very difficult changes today across the company. We are reducing our workforce by approximately 12% and letting many talented colleagues go.</w:t>
      </w:r>
    </w:p>
    <w:p>
      <w:pPr>
        <w:spacing w:after="0" w:line="158"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If you are impacted by these changes, you will receive an email from Chandler Bondan in the next 5 minutes, including information and an FAQ that hopefully addresses many of your immediate questions. </w:t>
      </w:r>
      <w:r>
        <w:rPr>
          <w:rFonts w:ascii="Times New Roman" w:cs="Times New Roman" w:eastAsia="Times New Roman" w:hAnsi="Times New Roman"/>
          <w:sz w:val="18"/>
          <w:szCs w:val="18"/>
          <w:color w:val="auto"/>
        </w:rPr>
        <w:t>The notification will be followed by a calendar invite for a meeting in the next 36 hours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a manager and an HRBP.</w:t>
      </w:r>
    </w:p>
    <w:p>
      <w:pPr>
        <w:spacing w:after="0" w:line="175"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I want all of you, but especially those that are receiving difficult news today, to know that these changes do not reflect on the good work that these employees have done over the years to build our company and our brands.</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In order for BuzzFeed to weather an economic downturn that I believe will extend well into 2023, we must adapt, invest in our strategy to serve our audience best, and readjust our cost structure.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revenues are being impacted by a combination of worsening macroeconomic conditions, and the ongoing audience shift to vertical video, which is still developing from a monetization standpoint. That requires us to lower our costs. Unfortunately, reducing our workforce is an essential part of cost cutting. Staff salaries are the single largest cost at the company.</w:t>
      </w:r>
    </w:p>
    <w:p>
      <w:pPr>
        <w:spacing w:after="0" w:line="176"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are also completing the integration of Complex Networks. We’ve learned a lot through the first 11 months since Complex joined us, and see clear opportunities to consolidate and centralize some areas where we’ve had duplication. This will not affect the editorial independence of Complex or any of our brands.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path I’m laying out today is the result of a deliberate and collaborative resource allocation review among the leadership team, which prioritizes:</w:t>
      </w:r>
    </w:p>
    <w:p>
      <w:pPr>
        <w:spacing w:after="0" w:line="225" w:lineRule="exact"/>
        <w:rPr>
          <w:sz w:val="20"/>
          <w:szCs w:val="20"/>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Investing in areas that will drive growth, and shifting away from areas with less audience engagement</w:t>
      </w:r>
    </w:p>
    <w:p>
      <w:pPr>
        <w:spacing w:after="0" w:line="27" w:lineRule="exact"/>
        <w:rPr>
          <w:rFonts w:ascii="Times New Roman" w:cs="Times New Roman" w:eastAsia="Times New Roman" w:hAnsi="Times New Roman"/>
          <w:sz w:val="18"/>
          <w:szCs w:val="18"/>
          <w:color w:val="auto"/>
        </w:rPr>
      </w:pPr>
    </w:p>
    <w:p>
      <w:pPr>
        <w:ind w:left="540" w:right="60" w:hanging="262"/>
        <w:spacing w:after="0" w:line="260" w:lineRule="auto"/>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building a more robust creator business, which requires a close conduit between content, business, and tech, and bringing additional skills and tools to the organization</w:t>
      </w:r>
    </w:p>
    <w:p>
      <w:pPr>
        <w:spacing w:after="0" w:line="181"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I know that there’s nothing I can write here to make this easier for anyone losing their job today. While I believe in the strategy we’re pursuing, and know it’s necessary to navigate the challenging year ahead, that’s no comfort if you are directly affected. So my focus today, which I know Chandler and the rest of our leadership team shares, is to give employees the respect and support they deserve as they exit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 deeply grateful for everything that those impacted have contributed to our community and to BuzzFeed.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 Disclaimer</w:t>
      </w:r>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The disclosure contained in this current report contains forward-looking statements, including statements concerning the expected timing, charges and costs associated with the planned workforce reductions. These forward-looking statements are based on the Company’s current expectations and inherently involve risks and uncertainties. The actual timing, charges and costs could differ materially from those anticipated in such forward-looking statements as a result of these risks and uncertainties. Factors that could cause actual results to differ materially from the statements included in this current report include difficulties encountered in implementing the planned workforce reductions such as litigation or other claims arising out of the reduction. Further information on potential factors that could affect the Company’s business and financial results are included in the Company’s Annual Report on Form 10-K for the year ended on December 31, 2021 and in its Quarterly Report on Form 10-Q for the quarters ended March 31, 2022, June 30, 2022 and September 30, 2022. We do not undertake any obligation to update or revise any forward-looking statements, whether as a result of new information, future events or otherwise, except as may be required under applicable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2022-12-06T10:10:06Z</dcterms:created>
  <dcterms:modified xsi:type="dcterms:W3CDTF">2022-12-06T10:10:06Z</dcterms:modified>
</cp:coreProperties>
</file>