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0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436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Commission file number: 001-39877</w:t>
      </w:r>
    </w:p>
    <w:p>
      <w:pPr>
        <w:spacing w:after="0" w:line="23"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0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1759"/>
              <w:spacing w:after="0"/>
              <w:rPr>
                <w:sz w:val="20"/>
                <w:szCs w:val="20"/>
                <w:color w:val="auto"/>
              </w:rPr>
            </w:pPr>
            <w:r>
              <w:rPr>
                <w:rFonts w:ascii="Times New Roman" w:cs="Times New Roman" w:eastAsia="Times New Roman" w:hAnsi="Times New Roman"/>
                <w:sz w:val="16"/>
                <w:szCs w:val="16"/>
                <w:b w:val="1"/>
                <w:bCs w:val="1"/>
                <w:color w:val="auto"/>
              </w:rPr>
              <w:t>85-3022075</w:t>
            </w:r>
          </w:p>
        </w:tc>
        <w:tc>
          <w:tcPr>
            <w:tcW w:w="0" w:type="dxa"/>
            <w:vAlign w:val="bottom"/>
          </w:tcPr>
          <w:p>
            <w:pPr>
              <w:spacing w:after="0"/>
              <w:rPr>
                <w:sz w:val="1"/>
                <w:szCs w:val="1"/>
                <w:color w:val="auto"/>
              </w:rPr>
            </w:pPr>
          </w:p>
        </w:tc>
      </w:tr>
      <w:tr>
        <w:trPr>
          <w:trHeight w:val="243"/>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70"/>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229 West 43rd Street New York, New York</w:t>
            </w:r>
          </w:p>
        </w:tc>
        <w:tc>
          <w:tcPr>
            <w:tcW w:w="2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720" w:type="dxa"/>
            <w:vAlign w:val="bottom"/>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10036</w:t>
            </w:r>
          </w:p>
        </w:tc>
        <w:tc>
          <w:tcPr>
            <w:tcW w:w="0" w:type="dxa"/>
            <w:vAlign w:val="bottom"/>
          </w:tcPr>
          <w:p>
            <w:pPr>
              <w:spacing w:after="0"/>
              <w:rPr>
                <w:sz w:val="1"/>
                <w:szCs w:val="1"/>
                <w:color w:val="auto"/>
              </w:rPr>
            </w:pPr>
          </w:p>
        </w:tc>
      </w:tr>
      <w:tr>
        <w:trPr>
          <w:trHeight w:val="243"/>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(646) 397-2039</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40" w:type="dxa"/>
            <w:vAlign w:val="bottom"/>
            <w:gridSpan w:val="3"/>
          </w:tcPr>
          <w:p>
            <w:pPr>
              <w:jc w:val="center"/>
              <w:ind w:left="3618"/>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540" w:type="dxa"/>
            <w:vAlign w:val="bottom"/>
            <w:gridSpan w:val="3"/>
          </w:tcPr>
          <w:p>
            <w:pPr>
              <w:jc w:val="center"/>
              <w:ind w:left="3638"/>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44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5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36"/>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BZFD</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4"/>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Redeemable warrants, each whole warrant exercisable for one</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BZFDW</w:t>
            </w:r>
          </w:p>
        </w:tc>
        <w:tc>
          <w:tcPr>
            <w:tcW w:w="700" w:type="dxa"/>
            <w:vAlign w:val="bottom"/>
          </w:tcPr>
          <w:p>
            <w:pPr>
              <w:spacing w:after="0"/>
              <w:rPr>
                <w:sz w:val="18"/>
                <w:szCs w:val="18"/>
                <w:color w:val="auto"/>
              </w:rPr>
            </w:pPr>
          </w:p>
        </w:tc>
        <w:tc>
          <w:tcPr>
            <w:tcW w:w="3720" w:type="dxa"/>
            <w:vAlign w:val="bottom"/>
            <w:tcBorders>
              <w:right w:val="single" w:sz="8" w:color="auto"/>
            </w:tcBorders>
            <w:vMerge w:val="restart"/>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 of Class A Common Stock at an exercise price of</w:t>
            </w:r>
          </w:p>
        </w:tc>
        <w:tc>
          <w:tcPr>
            <w:tcW w:w="2400" w:type="dxa"/>
            <w:vAlign w:val="bottom"/>
            <w:tcBorders>
              <w:right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approximately $46.00 per share</w:t>
            </w:r>
          </w:p>
        </w:tc>
        <w:tc>
          <w:tcPr>
            <w:tcW w:w="2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1340" w:type="dxa"/>
        <w:tblCellMar>
          <w:top w:w="0" w:type="dxa"/>
          <w:left w:w="0" w:type="dxa"/>
          <w:bottom w:w="0" w:type="dxa"/>
          <w:right w:w="0" w:type="dxa"/>
        </w:tblCellMar>
      </w:tblPr>
      <w:tr>
        <w:trPr>
          <w:trHeight w:val="210"/>
        </w:trPr>
        <w:tc>
          <w:tcPr>
            <w:tcW w:w="21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680"/>
              <w:spacing w:after="0"/>
              <w:rPr>
                <w:sz w:val="20"/>
                <w:szCs w:val="20"/>
                <w:color w:val="auto"/>
              </w:rPr>
            </w:pPr>
            <w:r>
              <w:rPr>
                <w:rFonts w:ascii="Wingdings" w:cs="Wingdings" w:eastAsia="Wingdings" w:hAnsi="Wingdings"/>
                <w:sz w:val="16"/>
                <w:szCs w:val="16"/>
                <w:b w:val="1"/>
                <w:bCs w:val="1"/>
                <w:color w:val="auto"/>
              </w:rPr>
              <w:t>o</w:t>
            </w: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1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680"/>
              <w:spacing w:after="0"/>
              <w:rPr>
                <w:sz w:val="20"/>
                <w:szCs w:val="20"/>
                <w:color w:val="auto"/>
              </w:rPr>
            </w:pPr>
            <w:r>
              <w:rPr>
                <w:rFonts w:ascii="Wingdings" w:cs="Wingdings" w:eastAsia="Wingdings" w:hAnsi="Wingdings"/>
                <w:sz w:val="16"/>
                <w:szCs w:val="16"/>
                <w:b w:val="1"/>
                <w:bCs w:val="1"/>
                <w:color w:val="auto"/>
              </w:rPr>
              <w:t>o</w:t>
            </w: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208" w:lineRule="exact"/>
        <w:rPr>
          <w:sz w:val="24"/>
          <w:szCs w:val="24"/>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27" w:lineRule="exact"/>
        <w:rPr>
          <w:sz w:val="24"/>
          <w:szCs w:val="24"/>
          <w:color w:val="auto"/>
        </w:rPr>
      </w:pPr>
    </w:p>
    <w:p>
      <w:pPr>
        <w:ind w:right="660"/>
        <w:spacing w:after="0" w:line="280" w:lineRule="auto"/>
        <w:rPr>
          <w:sz w:val="20"/>
          <w:szCs w:val="20"/>
          <w:color w:val="auto"/>
        </w:rPr>
      </w:pPr>
      <w:r>
        <w:rPr>
          <w:rFonts w:ascii="Times New Roman" w:cs="Times New Roman" w:eastAsia="Times New Roman" w:hAnsi="Times New Roman"/>
          <w:sz w:val="16"/>
          <w:szCs w:val="16"/>
          <w:color w:val="auto"/>
        </w:rPr>
        <w:t>As of May 6, 2025, there were 37,181,861 shares of the registrant’s Class A common stock outstanding, 1,343,299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2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820" w:type="dxa"/>
            <w:vAlign w:val="bottom"/>
            <w:gridSpan w:val="2"/>
          </w:tcPr>
          <w:p>
            <w:pPr>
              <w:spacing w:after="0"/>
              <w:rPr>
                <w:sz w:val="19"/>
                <w:szCs w:val="19"/>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560" w:type="dxa"/>
            <w:vAlign w:val="bottom"/>
            <w:gridSpan w:val="5"/>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6</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1840" w:type="dxa"/>
            <w:vAlign w:val="bottom"/>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7</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8</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840" w:type="dxa"/>
            <w:vAlign w:val="bottom"/>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Legal Proceedings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Risk Factors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2</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3</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5</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Other Information</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6</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Exhibits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52</w:t>
            </w:r>
          </w:p>
        </w:tc>
      </w:tr>
      <w:tr>
        <w:trPr>
          <w:trHeight w:val="938"/>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gridSpan w:val="12"/>
          </w:tcPr>
          <w:p>
            <w:pPr>
              <w:ind w:left="4140"/>
              <w:spacing w:after="0"/>
              <w:rPr>
                <w:sz w:val="20"/>
                <w:szCs w:val="20"/>
                <w:color w:val="auto"/>
              </w:rPr>
            </w:pPr>
            <w:r>
              <w:rPr>
                <w:rFonts w:ascii="Times New Roman" w:cs="Times New Roman" w:eastAsia="Times New Roman" w:hAnsi="Times New Roman"/>
                <w:sz w:val="17"/>
                <w:szCs w:val="17"/>
                <w:color w:val="auto"/>
                <w:w w:val="70"/>
              </w:rPr>
              <w:t>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the digital media industry, including overall demand of advertising in the markets in which we operate;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or changes in traffic or engagement with our brands and content;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and our current and prospective partners and advertisers operate;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adverse economic conditions in the United States (“U.S.”) and globally, including the potential onset of recession; current global supply chain disruptions; potential government shutdowns or a failure to raise the U.S. federal debt ceiling or to fund the federal government; the ongoing conflicts between Russia and Ukraine and between Israel and Hamas and any related sanctions and geopolitical tensions, and further escalation of trade tensions between the U.S. and its trading partners; tariffs; the inflationary environment; high unemployment; high interest rates, currency fluctuations; and the competitive labor market;</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including, but not limited to, our ability to obtain additional capital in the future, to repurchase our $29.7 million aggregate principal amount of unsecured convertible notes due 2026 (i.e., the “Notes”) upon a fundamental change such as the delisting of our Class A common stock, at their maturity, or upon the holders of the Notes requiring repayment of their Notes on or after May 31, 2025, any restrictions imposed by, or commitments under, the indenture governing the Notes or agreements governing any future indebtedness, and any restrictions on our ability to access our cash and cash equivalents;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law and government regulation, including, but not limited to, revised foreign content and ownership regulations, and the outcomes of legal proceedings, regulatory disputes, or governmental investigations to which we are subject;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cost savings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divesting of companies, assets, or brands we sell, or in integrating and supporting the companies we acquire;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launching new products or platforms, including any new social media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including artificial intelligence (“AI”);</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other key employees or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content creators and on-camera talent and relationships with third parties managing certain of our branded operations outside of the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certain of our information technology (“IT”) systems or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service, or by our failure to timely and effectively scale and adapt our existing technology and infrastructure;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The Nasdaq Capital Market LLC (“Nasdaq”);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 in our Annual Report on Form 10-K for the year ended December 31, 2024.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2024. These and other factors could cause results to differ materially from those expressed in these publications and reports.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BUZZFEED, INC.</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and shares in thousands, except per share amounts</w:t>
      </w:r>
      <w:r>
        <w:rPr>
          <w:rFonts w:ascii="Times New Roman" w:cs="Times New Roman" w:eastAsia="Times New Roman" w:hAnsi="Times New Roman"/>
          <w:sz w:val="14"/>
          <w:szCs w:val="14"/>
          <w:color w:val="auto"/>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$910 as at March 31, 2025 and $1,039 as at December 31, 2024)</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48,944</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88,029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100,886</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Right-of-use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28,562</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Capitalized software costs, net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22,653</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11,751</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43,304</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8,047</w:t>
            </w: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203,249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221,398</w:t>
            </w:r>
          </w:p>
        </w:tc>
      </w:tr>
      <w:tr>
        <w:trPr>
          <w:trHeight w:val="23"/>
        </w:trPr>
        <w:tc>
          <w:tcPr>
            <w:tcW w:w="818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auto"/>
            </w:tcBorders>
          </w:tcPr>
          <w:p>
            <w:pPr>
              <w:spacing w:after="0"/>
              <w:rPr>
                <w:sz w:val="2"/>
                <w:szCs w:val="2"/>
                <w:color w:val="auto"/>
              </w:rPr>
            </w:pPr>
          </w:p>
        </w:tc>
        <w:tc>
          <w:tcPr>
            <w:tcW w:w="130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14,251</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18,881</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compensation</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11,668</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22,084</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debt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25,518</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96,096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96,836</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106,957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114,456</w:t>
            </w:r>
          </w:p>
        </w:tc>
      </w:tr>
      <w:tr>
        <w:trPr>
          <w:trHeight w:val="71"/>
        </w:trPr>
        <w:tc>
          <w:tcPr>
            <w:tcW w:w="818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3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71"/>
        </w:trPr>
        <w:tc>
          <w:tcPr>
            <w:tcW w:w="818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3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A common stock, $0.0001 par value; 700,000 shares authorized; 37,182 and 37,025 shares issued and outstanding at March 31, 2025</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December 31, 2024,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B common stock, $0.0001 par value; 20,000 shares authorized; 1,343 and 1,343 shares issued and outstanding at March 31, 2025 and</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8"/>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December 31, 2024, respectively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731,734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730,369</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(621,864)</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BuzzFeed, Inc. stockholders’ equity</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93,796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104,774</w:t>
            </w: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96,292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106,942</w:t>
            </w: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203,249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221,398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(Unaudited, dollars and shares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i w:val="1"/>
          <w:iCs w:val="1"/>
          <w:color w:val="auto"/>
        </w:rPr>
        <w:t>n thousands, except per share amounts</w:t>
      </w:r>
      <w:r>
        <w:rPr>
          <w:rFonts w:ascii="Times New Roman" w:cs="Times New Roman" w:eastAsia="Times New Roman" w:hAnsi="Times New Roman"/>
          <w:sz w:val="18"/>
          <w:szCs w:val="18"/>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27,139</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(35,782)</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holders of Class A and Class B common stock:</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per Class A and Class B common share: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36,578</w:t>
            </w:r>
          </w:p>
        </w:tc>
        <w:tc>
          <w:tcPr>
            <w:tcW w:w="0" w:type="dxa"/>
            <w:vAlign w:val="bottom"/>
          </w:tcPr>
          <w:p>
            <w:pPr>
              <w:spacing w:after="0"/>
              <w:rPr>
                <w:sz w:val="1"/>
                <w:szCs w:val="1"/>
                <w:color w:val="auto"/>
              </w:rPr>
            </w:pPr>
          </w:p>
        </w:tc>
      </w:tr>
      <w:tr>
        <w:trPr>
          <w:trHeight w:val="27"/>
        </w:trPr>
        <w:tc>
          <w:tcPr>
            <w:tcW w:w="8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BuzzFeed,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(35,906)</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1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54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6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1540" w:type="dxa"/>
            <w:vAlign w:val="bottom"/>
            <w:gridSpan w:val="7"/>
            <w:vMerge w:val="continue"/>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Additional paid-</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BuzzFeed, Inc.</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54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6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9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540" w:type="dxa"/>
            <w:vAlign w:val="bottom"/>
            <w:gridSpan w:val="7"/>
            <w:vMerge w:val="continue"/>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74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29"/>
        </w:trPr>
        <w:tc>
          <w:tcPr>
            <w:tcW w:w="1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37,025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730,369</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(621,864)</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(3,735)</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104,774</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106,942</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(12,671)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(12,671)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(12,461)</w:t>
            </w: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connection with share-based</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connection with at-the-market</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offering, net of issuance costs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37,182</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731,734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(634,535)</w:t>
            </w:r>
          </w:p>
        </w:tc>
        <w:tc>
          <w:tcPr>
            <w:tcW w:w="80" w:type="dxa"/>
            <w:vAlign w:val="bottom"/>
            <w:gridSpan w:val="2"/>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(3,407)</w:t>
            </w:r>
          </w:p>
        </w:tc>
        <w:tc>
          <w:tcPr>
            <w:tcW w:w="80" w:type="dxa"/>
            <w:vAlign w:val="bottom"/>
            <w:gridSpan w:val="2"/>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93,796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96,292</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1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March 31, 2024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54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62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1540" w:type="dxa"/>
            <w:vAlign w:val="bottom"/>
            <w:gridSpan w:val="7"/>
            <w:vMerge w:val="continue"/>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BuzzFeed, Inc.</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4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80" w:type="dxa"/>
            <w:vAlign w:val="bottom"/>
            <w:vMerge w:val="restart"/>
          </w:tcPr>
          <w:p>
            <w:pPr>
              <w:spacing w:after="0"/>
              <w:rPr>
                <w:sz w:val="5"/>
                <w:szCs w:val="5"/>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6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740" w:type="dxa"/>
            <w:vAlign w:val="bottom"/>
          </w:tcPr>
          <w:p>
            <w:pPr>
              <w:spacing w:after="0"/>
              <w:rPr>
                <w:sz w:val="9"/>
                <w:szCs w:val="9"/>
                <w:color w:val="auto"/>
              </w:rPr>
            </w:pPr>
          </w:p>
        </w:tc>
        <w:tc>
          <w:tcPr>
            <w:tcW w:w="1460" w:type="dxa"/>
            <w:vAlign w:val="bottom"/>
            <w:tcBorders>
              <w:bottom w:val="single" w:sz="8" w:color="auto"/>
            </w:tcBorders>
            <w:gridSpan w:val="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CCEEFF"/>
            </w:tcBorders>
            <w:shd w:val="clear" w:color="auto" w:fill="CCEEFF"/>
          </w:tcPr>
          <w:p>
            <w:pPr>
              <w:jc w:val="center"/>
              <w:ind w:left="377"/>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center"/>
              <w:ind w:left="377"/>
              <w:spacing w:after="0"/>
              <w:rPr>
                <w:sz w:val="20"/>
                <w:szCs w:val="20"/>
                <w:color w:val="auto"/>
              </w:rPr>
            </w:pPr>
            <w:r>
              <w:rPr>
                <w:rFonts w:ascii="Times New Roman" w:cs="Times New Roman" w:eastAsia="Times New Roman" w:hAnsi="Times New Roman"/>
                <w:sz w:val="13"/>
                <w:szCs w:val="13"/>
                <w:color w:val="auto"/>
                <w:w w:val="91"/>
              </w:rPr>
              <w:t>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723,092</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(611,768)</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108,828</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center"/>
              <w:ind w:left="3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connection with share-based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left="3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taxes</w:t>
            </w:r>
          </w:p>
        </w:tc>
        <w:tc>
          <w:tcPr>
            <w:tcW w:w="6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center"/>
              <w:ind w:left="3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3"/>
                <w:szCs w:val="13"/>
                <w:color w:val="auto"/>
                <w:w w:val="91"/>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723,868</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(647,497)</w:t>
            </w: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73,698</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w:t>
            </w: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2520" w:type="dxa"/>
            <w:vAlign w:val="bottom"/>
            <w:gridSpan w:val="4"/>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Pr>
          <w:p>
            <w:pPr>
              <w:spacing w:after="0"/>
              <w:rPr>
                <w:sz w:val="14"/>
                <w:szCs w:val="14"/>
                <w:color w:val="auto"/>
              </w:rPr>
            </w:pPr>
          </w:p>
        </w:tc>
      </w:tr>
      <w:tr>
        <w:trPr>
          <w:trHeight w:val="29"/>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7"/>
        </w:trPr>
        <w:tc>
          <w:tcPr>
            <w:tcW w:w="8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(12,461)</w:t>
            </w:r>
          </w:p>
        </w:tc>
        <w:tc>
          <w:tcPr>
            <w:tcW w:w="100" w:type="dxa"/>
            <w:vAlign w:val="bottom"/>
          </w:tcPr>
          <w:p>
            <w:pPr>
              <w:spacing w:after="0"/>
              <w:rPr>
                <w:sz w:val="15"/>
                <w:szCs w:val="15"/>
                <w:color w:val="auto"/>
              </w:rPr>
            </w:pP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(35,782)</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Less: net loss from discontinued operations, net of tax</w:t>
            </w:r>
          </w:p>
        </w:tc>
        <w:tc>
          <w:tcPr>
            <w:tcW w:w="9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8,832</w:t>
            </w:r>
          </w:p>
        </w:tc>
      </w:tr>
      <w:tr>
        <w:trPr>
          <w:trHeight w:val="167"/>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 from continuing operations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(12,461)</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(26,950)</w:t>
            </w:r>
          </w:p>
        </w:tc>
      </w:tr>
      <w:tr>
        <w:trPr>
          <w:trHeight w:val="29"/>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Adjustments to reconcile net loss to net cash provided by (used in) operating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4,585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5,479</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Unrealized gain foreign currency</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(46)</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231F20"/>
              </w:rPr>
              <w:t>Stock based compensation</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1,377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704</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Change in fair value of warrants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(1,234)</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37</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231F20"/>
              </w:rPr>
              <w:t>Amortization of debt discount and deferred issuance costs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489</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493</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(74)</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Non-cash lease expense</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4,716</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4,261</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13,131</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28,912</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1,085</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(6,886)</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(23,184)</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compensation</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6,253</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Accrued expenses, other current liabilities, and other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4,277</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3,315</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231F20"/>
              </w:rPr>
              <w:t>Lease liabilities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(5,952)</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(5,115)</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488</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(used in) operating activities from continuing operations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(3,853)</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operating activities from discontinued operations</w:t>
            </w:r>
          </w:p>
        </w:tc>
        <w:tc>
          <w:tcPr>
            <w:tcW w:w="9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(9,446)</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(used in) operating activities from continuing operations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(13,299)</w:t>
            </w:r>
          </w:p>
        </w:tc>
      </w:tr>
      <w:tr>
        <w:trPr>
          <w:trHeight w:val="69"/>
        </w:trPr>
        <w:tc>
          <w:tcPr>
            <w:tcW w:w="818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r>
      <w:tr>
        <w:trPr>
          <w:trHeight w:val="173"/>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(88)</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Capitalization of internal-use software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(3,330)</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combination, net of cash acquired</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(233)</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asset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300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 from continuing operations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(3,449)</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(3,418)</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investing activities from discontinued operations</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108,575</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provided by investing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105,157</w:t>
            </w:r>
          </w:p>
        </w:tc>
      </w:tr>
      <w:tr>
        <w:trPr>
          <w:trHeight w:val="34"/>
        </w:trPr>
        <w:tc>
          <w:tcPr>
            <w:tcW w:w="8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for shares withheld for employee taxes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Borrowings on Revolving Credit Facility</w:t>
            </w:r>
          </w:p>
        </w:tc>
        <w:tc>
          <w:tcPr>
            <w:tcW w:w="9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(33,837)</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consent solicitation fees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(2,089)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on Convertible Notes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(30,900)</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in connection with the at-the-market offering, net of issuance costs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early termination fee for Revolving Credit Facility</w:t>
            </w:r>
          </w:p>
        </w:tc>
        <w:tc>
          <w:tcPr>
            <w:tcW w:w="9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deferred issuance costs</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financing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(2,454)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(65,828)</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currency translation on cash and cash equivalents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237</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(160)</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(4,322)</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25,870</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38,648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35,637</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at end of period</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tabular amounts and shares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BuzzFeed, Inc. (referred to herein, collectively with its subsidiaries, as “BuzzFeed,” the “Company,” “our,” “us,” or “we”) is home to the best of the Internet. Across entertainment, news, food, pop culture, and commerce, our brands drive conversation and inspire what audiences watch, read, and buy now — and into the future. The Company’s iconic, globally-loved brands include BuzzFeed, HuffPost, and Tasty. BuzzFeed derives its revenue primarily from advertising, content, and commerce and other sold to leading brands. The Company has one reportable segment.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The Company repurchased approximately $120.0 million of the Notes in 2024. Additionally, the Company repurchased approximately $0.3 million of the Notes on February 25, 2025, leaving approximately $29.7 million aggregate principal amount of Notes outstanding as of March 31, 2025. Refer to Note 8 herein for additional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its inception, the Company has generally incurred significant losses and used net cash flows from operations to grow its owned and operated properties and its iconic brands. During the three months ended March 31, 2025, the Company incurred a net loss of $12.5 million and generated net cash flows from its operations of $1.3 million. Additionally, as of March 31, 2025, the Company had unrestricted cash and cash equivalents of $34.3 million to fund its operations, and an accumulated deficit of $634.5 million.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described in Note 8 herein, the Company repurchased approximately $120.0 million of the Notes in 2024, and the Company repurchased approximately $0.3 million of the Notes on February 25, 2025, leaving approximately $29.7 million aggregate principal amount of Notes outstanding as of March 31, 2025. As described in Note 8 herein, each holder of a Note has the right under the indenture governing the Notes to require the Company to repurchase, for cash, all or a portion of the Notes held by such holder (i) at any time on or after May 31, 2025, at a repurchase price equal to the principal amount plus accrued and unpaid interest, due within five business days of receipt of the holder’s notes requiring repurchase, or (ii) upon the occurrence of a fundamental change (as defined in the indenture governing the Notes) before the maturity date (i.e., December 3, 2026), at a repurchase price equal to 101% of the principal amount plus accrued and unpaid interest.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2024, the Company amended the indenture governing the Notes to provide that, among other things, 95% of the net proceeds of future asset sales must be used to repay the Notes.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some or all of the holders of the Notes exercise their put rights, the Company currently does not have sufficient cash on hand or projected cash flows to fund the potential put. The Company’s failure to comply with the provisions of the indenture governing the Notes, including the Company’s failure to repurchase the Notes, as required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could trigger an event of default under the indenture governing the Notes, which would allow the holders of Notes to accelerate the maturity of the Notes and require the Company to repay the Notes prior to their maturity.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address its capital needs, the Company has entered into a non-binding term sheet with a potential lender for an asset-backed term loan (the “Loan”), with an expected commitment amount of up to $40.0 million and a three-year term. The term sheet provides that the Company and the lender will aim to close this Loan by May 23, 2025, and, in conjunction with any closing, the Company will incur certain legal and other debt issuance fees. Proceeds from the Loan, if it were to close, would be used to repurchase the remaining Notes. However, the Company can provide no assurance that it will be successful in closing the Loan, obtaining other new financing, or, if the Loan fails to close, in generating sufficient cash inflows from operations or otherwise to fund its obligations as they become due over the next 12 months beyond the issuance date. The Company may implement incremental cost savings actions and pursue additional sources of outside capital to supplement its funding obligations as they become due, which includes additional offerings of its Class A common stock under the at-the-market offering (refer to Note 9 herein for additional details), or other issuances of Class A common stock or other securities convertible into or exercisable or exchangeable for our Class A common stock. However, as of the issuance date, no additional sources of outside capital have been secured or were deemed probable of being secured (the aforementioned Loan term sheet is non-binding), other than the Company’s at-the-market-offering, which is subject to the conditions contained in the At-The-Market Offering Agreement dated June 20, 2023 with Craig-Hallum Capital Group LLC. The Company can provide no assurance it will successfully generate sufficient liquidity to fund its operations for the next 12 months beyond the issuance date, or if necessary, secure additional outside capital (including through the Company’s at-the-market-offering), or implement incremental cost savings.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on an ongoing basis, the Company is evaluating strategic changes to its operations, including asset divestitures, restructurings,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with its external advisors to optimize its condensed consolidated balance sheet and evaluate its assets.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condensed consolidated financial statements have been prepared on the basis that the Company will continue to operate as a going concern, which contemplates that it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applicable rules and regulations of the Securities and Exchange Commission regarding interim financial reporting. Certain information and note disclosures normally included in the financial statements prepared in accordance with U.S.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2024, as disclosed in the Company’s Annual Report on Form 10-K for the year ended December 31,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BuzzFeed, Inc., and its wholly-owned and majority-owned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held its 2024 annual meeting of stockholders on April 25, 2024 (the “2024 Annual Meeting”),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 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was approved by the Company’s stockholders (i.e., by April 25, 2025).</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Nasdaq on May 6, 2024, under the existing symbol “BZFD,” but the security has a new CUSIP number of 12430A300. The Public Warrants (as defined in Note 4 herein) continued to be traded under the symbol “BZFDW,” and the CUSIP identifier for the Public Warrants remains unchanged.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as the case may be,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noted, all shares of Class A common stock and Class B common stock, including shares of Class A common stock underlying the Public Warrants and Private Warrants (as defined in Note 4 herein), stock options, restricted stock units, and the Notes, shares of Class A common stock available for grant under the Company’s equity incentive plans, shares of Class A common stock sold and available for sale under the Company’s at-the-market offering, and all conversion ratios, exercise prices, and per share information with respect thereto in the condensed consolidated financial statements have been retroactively adjusted to reflect the one-for-four (1-for-4) Reverse Stock Split, as if the split occurred at the beginning of the earliest period presented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 and Held for Sale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condensed consolidated statement of operations; and (iii) assets and liabilities are reported as held for sale in the condensed consolidated balance sheets in the period in which the business is classified as held for sale.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concluded the assets of the Complex Networks business, excluding the First We Feast brand, met the criteria for classification for held for sale as of December 31, 2023. Additionally, the Company determined the ultimate disposal, which took place on February 21, 2024 (i.e., the “Complex Disposition”), represented a strategic shift that had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major effect on the Company’s operations and financial results. Moreover, the Company concluded the assets of the First We Feast business met the criteria for classification for held for sale as of December 1, 2024. Additionally, the Company determined the ultimate disposal, which took place on December 11, 2024 (i.e., the “First We Feast Disposition”), represented a strategic shift that had a major effect on our operations and financial results. As such, the results of Complex Networks and First We Feast are presented as discontinued operations in the condensed consolidated statements of operations for the three months ended March 31, 2024. Refer to Note 18 herein for additional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Key estimates and assumptions relate primarily to revenue recognition, valuation allowances for deferred income tax assets, allowance for doubtful accounts, useful lives of fixed assets, and capitalized software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will adopt this standard with its 2025 annual filing, and is currently evaluating the impact of adopting this guidance on its consolidated financial statements.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companies to disclose disaggregated information of certain expense captions presented on the face of the income statement within continuing operations that include following expense categories, as applicable: (1) purchases of inventory, (2) employee compensation, (3) depreciation, (4) intangible amortization, and (5) depreciation, depletion, and amortization (“DD&amp;A”) recognized as part of oil-and gas-producing activities. This ASU is effective for annual reporting periods beginning after December 15, 2026, and interim reporting periods beginning after December 15, 2027. Companies have the option to apply the guidance either on a retrospective or prospective basis, and early adoption is permitted. The Company is currently evaluating the impact of adopting this guidance on its condensed consolidated financial statements.</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 and Other Options (Subtopic 470-20): Induced Conversions of Convertible Debt Instruments,” which aims to clarify the accounting treatment for induced offers made to holders of convertible debt to encourage early conversion. The ASU is effective for fiscal years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beginning after December 15, 2025, including interim periods within those annual reporting periods. The Company is currently evaluating the impact of adopting of this guidance on its condensed consolidated financial statements.</w:t>
      </w:r>
    </w:p>
    <w:p>
      <w:pPr>
        <w:spacing w:after="0" w:line="158" w:lineRule="exact"/>
        <w:rPr>
          <w:sz w:val="20"/>
          <w:szCs w:val="20"/>
          <w:color w:val="auto"/>
        </w:rPr>
      </w:pPr>
    </w:p>
    <w:p>
      <w:pPr>
        <w:jc w:val="both"/>
        <w:ind w:right="942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Disaggregated Revenue</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Commerce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36,021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37,009</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3060" w:type="dxa"/>
            <w:vAlign w:val="bottom"/>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32,799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36,021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can result in billed accounts receivable, unbilled receivables, unbilled revenue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and payment is conditional on something other than the passage of time) or deferred revenue (customer payment is received in advance of performance). The Company records an unbilled receivable when revenue is recognized and it has an unconditional right to consideration and only the passage of time is required to receive the consideration. Unbilled receivables are presented within accounts receivable, net of allowance of doubtful accounts, within the condensed consolidated balance sheets. In addition, the Company has determined its contracts generally do not include a significant financing component.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are presented in prepaid and other current assets on the accompanying condensed consolidated balance sheets and totaled $4.7 million and $4.5 million as of March 31, 2025 and December 31, 2024, respectively. These amounts relate to revenue recognized during the respective period that is expected to be invoiced and collected in future periods.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which are recorded in deferred revenue on the accompanying condensed consolidated balance sheets, are expected to be recognized as revenues during the succeeding 12-month period. Deferred revenue totaled $2.7 million and $0.6 million as of March 31, 2025 and December 31, 2024, respectively. The amount of revenue recognized during the three months ended March 31, 2025 that was included in the deferred revenue balance as of December 31, 2024 was $0.4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are summarized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r>
      <w:tr>
        <w:trPr>
          <w:trHeight w:val="23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r>
      <w:tr>
        <w:trPr>
          <w:trHeight w:val="23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1100" w:type="dxa"/>
            <w:vAlign w:val="bottom"/>
            <w:tcBorders>
              <w:top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4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warrant liability as of March 31, 2025 and December 31, 2024 includes public and private placement warrants that were originally issued by 890, but which were assumed by the Company in connection with the 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$0.06 and $0.18 as of March 31, 2025 and December 31, 2024, respectively.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an investment in equity securities of a privately-held company without a readily determinable fair value. The total carrying value of the investment, included in prepaid and other assets on the condensed consolidated balance sheets, was $0.8 million as of both March 31,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equipment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value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54,211</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(48,016)</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totaled $1.5 million and $1.5 million for the three months ended March 31, 2025 and 2024, respectively, and was included in depreciation and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Capitalized Software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costs,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Website and internal-use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94,222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91,425</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Pr>
          <w:p>
            <w:pPr>
              <w:spacing w:after="0"/>
              <w:rPr>
                <w:sz w:val="21"/>
                <w:szCs w:val="21"/>
                <w:color w:val="auto"/>
              </w:rPr>
            </w:pPr>
          </w:p>
        </w:tc>
        <w:tc>
          <w:tcPr>
            <w:tcW w:w="130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rPr>
              <w:t>(71,272)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(68,772)</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22,950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22,653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capitalized $3.1 million and $3.3 million for the three months ended March 31, 2025 and 2024, respectively, included in capitalized software costs, and amortized $2.8 million and $3.5 million for the three months ended March 31, 2025 and 2024, respectively, included in depreciation and amortization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intangible assets for the periods presented and the weighted average remaining useful lives: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
        </w:trPr>
        <w:tc>
          <w:tcPr>
            <w:tcW w:w="252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1"/>
        </w:trPr>
        <w:tc>
          <w:tcPr>
            <w:tcW w:w="25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25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252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5"/>
                <w:szCs w:val="15"/>
                <w:color w:val="auto"/>
              </w:rPr>
            </w:pPr>
          </w:p>
        </w:tc>
        <w:tc>
          <w:tcPr>
            <w:tcW w:w="122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0"/>
        </w:trPr>
        <w:tc>
          <w:tcPr>
            <w:tcW w:w="252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22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25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w:t>
            </w: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Indefinite</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Pr>
          <w:p>
            <w:pPr>
              <w:spacing w:after="0"/>
              <w:rPr>
                <w:sz w:val="16"/>
                <w:szCs w:val="16"/>
                <w:color w:val="auto"/>
              </w:rPr>
            </w:pPr>
          </w:p>
        </w:tc>
        <w:tc>
          <w:tcPr>
            <w:tcW w:w="12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Indefinite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r>
      <w:tr>
        <w:trPr>
          <w:trHeight w:val="37"/>
        </w:trPr>
        <w:tc>
          <w:tcPr>
            <w:tcW w:w="2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12,387</w:t>
            </w:r>
          </w:p>
        </w:tc>
        <w:tc>
          <w:tcPr>
            <w:tcW w:w="1200" w:type="dxa"/>
            <w:vAlign w:val="bottom"/>
            <w:gridSpan w:val="3"/>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11,751</w:t>
            </w:r>
          </w:p>
        </w:tc>
      </w:tr>
      <w:tr>
        <w:trPr>
          <w:trHeight w:val="25"/>
        </w:trPr>
        <w:tc>
          <w:tcPr>
            <w:tcW w:w="2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intangible assets for the three months ended March 31, 2025 and 2024 was $0.3 million and $0.5 million, respectively, included in depreciation and amortization expense.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future amortization expense as of March 31, 2025 is as follows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7"/>
        </w:trPr>
        <w:tc>
          <w:tcPr>
            <w:tcW w:w="9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2025, the Company completed an acquisition of the assets and liabilities of a small private company that focuses on producing custom content. The Company paid $0.3 million in cash, and identified $0.5 million of contingent consideration. In connection with this acquisition, the Company recorded an intangible asset (customer relationships) of $0.9 million, with a 3-year estimated economic useful life. The fair value of this intangible asset was estimated using Level 3 inputs. The remaining acquired assets and liabilities were immaterial working capital balances and no goodwill was recorded in connection with this acquisition. This acquisition did not have a material impact to the Company’s revenue or net loss from continuing operations as of and for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annually as of October 1 and more frequently if events or changes in circumstances indicate an impairment may exist (a “triggering event”). As of March 31, 2025, the Company had $43.3 million of goodwill recorded on its condensed consolidated balance sheet. The Company concluded there were no impairment triggering events as of, and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On February 21, 2024, in connection with the Complex Disposition discussed within Note 18 herein, the Company terminated the Revolving Credit Facility, except for the $15.5 million in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letters of credit outstanding, which were cash collateralized in the amount of $17.1 million and resulted in restricted cash classification on the condensed consolidated balance sheet as of March 31, 2024. However, during the second quarter of 2024, the Company terminated the $15.5 million in letters of credit outstanding under the Revolving Credit Facility, resulting in the full termination of the Revolving Credit Facility (and therefore there was no further restricted cash classification).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Letters of Credit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March 31, 2025. Additionally, during the first quarter of 2025, the Company entered into an agreement with a financial institution for a standby letter of credit in the amount of approximately $2.9 million, which was issued in the first quarter of 2025 in favor of the Company’s landlord for its new corporate headquarters, and remains outstanding as of March 31, 2025. Refer to Note 13 herein for additional details with respect to this new 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which are governed by an indenture, dated December 3, 2021, which was amended on each of July 10, 2023, February 28, 2024, October 28, 2024, and December 10, 2024. The Notes are convertible into shares of our Class A common stock at an initial conversion price of approximately $50.00 and bear interest at a rate of 8.50% per annum, payable semi-annually. The Notes mature on December 3, 2026. As of March 31, 2025, approximately $29.7 million aggregate principal amount of Notes remain outstanding. As of March 31, 2025, the Notes were convertible into approximately 594,301 shares of our Class A common stock.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holder of a Note has the right under the indenture governing the Notes to require the Company to repurchase, for cash, all or a portion of the Notes held by such holder (i) at any time on or after May 31, 2025, at a repurchase price equal to the principal amount plus accrued and unpaid interest, due within five business days of receipt of the holder’s notes requiring repurchase, or (ii) upon the occurrence of a fundamental change (as defined in the indenture governing the Notes) before the maturity date (i.e. December 3, 2026), at a repurchase price equal to 101% of the principal amount plus accrued and unpaid interest.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failure to comply with the provisions of the indenture governing our Notes could trigger an event of default under the indenture, which would allow the holders of Notes to accelerate the maturity of the Notes and require the Company to repay the Notes prior to their maturity. Moreover, the Company will be required to repay the Notes, in cash, at their maturity, unless earlier converted, redeemed, or repurchased.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(currently $50.00) for more than 20 trading days during a period of 30 consecutive trading days, which has yet to occur.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 Additionally, pursuant to the second amendment of the indenture on February 28, 2024, executed in connection with the Complex Disposition, 95% of the net proceeds of future asset sales must be used to repay the Notes.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7, 2024, in connection with the Complex Disposition, the Company repurchased approximately $30.9 million of the $150.0 million Notes. In connection with the repurchase, the Company determined the modified debt terms were not substantially different from the original terms and applied modification accounting. The Company derecognized approximately 20.6% of the unamortized debt discount and issuance costs, which resulted in an approximately $4.9 million loss on partial debt extinguishment that was attributed to the discontinued operation from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Complex Disposition. Additionally, on June 21, 2024, the Company repurchased approximately $0.3 million of the Notes in connection with an asset sale.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repurchased the following amounts of Notes in December 2024: $12.0 million pursuant to a private repurchase transaction, $1.2 million pursuant to redemptions / repurchases, and $75.6 million utilizing 95% of the net proceeds received from the First We Feast Disposition. In connection with the aforementioned repayments (repurchases), the Company determined the modified debt terms were not substantially different from the original terms and applied modification accounting, utilizing the original cash flows in the cash flow test since the debt was modified more than once in one year. The Company derecognized approximately 74.7% of the unamortized debt discount and issuance costs, which resulted in an approximately $10.8 million loss on partial debt extinguishment, of which $6.9 million was attributed to the discontinued operation from the First We Feast Disposition and the remainder was attributed to continuing operations.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Pursuant to the fourth supplemental indenture governing the Notes, on January 31, 2025, the Company paid a cash fee of $0.9 million to the Trustee (as defined in the indenture governing the Notes) for the benefit of all holders of the Notes then-outstanding, thereby extending the earliest date that the Optional Repurchase Notices (as defined in the indenture governing the Notes) may be delivered to the Company to March 31, 2025. On February 25, 2025, approximately $0.3 million of Notes were repurchased in connection with proceeds received from a previous asset sale. On March 31, 2025, pursuant to the fourth supplemental indenture governing the Notes, the Company paid a cash fee of approximately $1.2 million to the Trustee (as defined in the indenture governing the Notes) for the benefit of all holders of the Notes then-outstanding, thereby extending the earliest date that the Optional Repurchase Notices (as defined in the indenture governing the Notes) may be delivered to the Company to May 31, 2025. As a result of the aforementioned repurchases</w:t>
      </w:r>
    </w:p>
    <w:p>
      <w:pPr>
        <w:spacing w:after="0" w:line="4" w:lineRule="exact"/>
        <w:rPr>
          <w:sz w:val="20"/>
          <w:szCs w:val="20"/>
          <w:color w:val="auto"/>
        </w:rPr>
      </w:pPr>
    </w:p>
    <w:p>
      <w:pPr>
        <w:jc w:val="both"/>
        <w:ind w:firstLine="8"/>
        <w:spacing w:after="0" w:line="246" w:lineRule="auto"/>
        <w:tabs>
          <w:tab w:leader="none" w:pos="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the Company determined the modified debt terms were not substantially different from the original terms and applied modification accounting, utilizing the original cash flows in the cash flow test since the debt was modified more than once in one year. The Company derecognized approximately 1% of the unamortized debt discount and issuance costs, which resulted in an approximately $nil loss on partial debt extinguishment.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on the Notes is recognized at an effective interest rate of approximately 23% and totaled $1.1 million and $1.3 million for the three months ended March 31, 2025 and 2024, respectively, of which amortization of the debt discount and issuance costs comprised $0.5 million and $0.4 million for the three months ended March 31, 2025 and 2024, respectively. The effective interest rate of approximately 23% was remeasured in connection with the aforementioned modification accounting and assumes a maturity date of December 3, 2026.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carrying amount of the Notes as of March 31, 2025 and December 31, 2024 was: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29,715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80" w:type="dxa"/>
            <w:vAlign w:val="bottom"/>
          </w:tcPr>
          <w:p>
            <w:pPr>
              <w:spacing w:after="0"/>
              <w:rPr>
                <w:sz w:val="21"/>
                <w:szCs w:val="21"/>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(4,482)</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23,690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25,518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Notes as of March 31, 2025 and December 31, 2024 approximated the face value (principal amount outstanding) and was estimated using Level 3 inputs.</w:t>
      </w:r>
    </w:p>
    <w:p>
      <w:pPr>
        <w:spacing w:after="0" w:line="158" w:lineRule="exact"/>
        <w:rPr>
          <w:sz w:val="20"/>
          <w:szCs w:val="20"/>
          <w:color w:val="auto"/>
        </w:rPr>
      </w:pPr>
    </w:p>
    <w:p>
      <w:pPr>
        <w:ind w:right="9420" w:firstLine="8"/>
        <w:spacing w:after="0" w:line="503"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50,000,000 shares of preferred stock, par value $0.0001 per share. The Company’s board of directors is authorized, without further stockholder approval, to issue such preferred stock in one or more series, to fix the voting rights, if any, designations,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powers, preferences and relative, participating, optional or other special rights, if any, of each such series and any qualifications, limitations or restrictions thereof, applicable to the shares of each series. There were no issued and outstanding shares of preferred stock as of March 31, 2025 or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incentive plans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2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9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49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9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Times New Roman" w:cs="Times New Roman" w:eastAsia="Times New Roman" w:hAnsi="Times New Roman"/>
                <w:sz w:val="18"/>
                <w:szCs w:val="18"/>
                <w:color w:val="auto"/>
                <w:w w:val="95"/>
              </w:rPr>
              <w:t>9.24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9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600" w:type="dxa"/>
            <w:vAlign w:val="bottom"/>
            <w:gridSpan w:val="2"/>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Times New Roman" w:cs="Times New Roman" w:eastAsia="Times New Roman" w:hAnsi="Times New Roman"/>
                <w:sz w:val="18"/>
                <w:szCs w:val="18"/>
                <w:color w:val="auto"/>
                <w:w w:val="95"/>
              </w:rPr>
              <w:t>8.97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March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Times New Roman" w:cs="Times New Roman" w:eastAsia="Times New Roman" w:hAnsi="Times New Roman"/>
                <w:sz w:val="18"/>
                <w:szCs w:val="18"/>
                <w:color w:val="auto"/>
                <w:w w:val="95"/>
              </w:rPr>
              <w:t>8.97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Times New Roman" w:cs="Times New Roman" w:eastAsia="Times New Roman" w:hAnsi="Times New Roman"/>
                <w:sz w:val="18"/>
                <w:szCs w:val="18"/>
                <w:color w:val="auto"/>
                <w:w w:val="95"/>
              </w:rPr>
              <w:t>4.35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total share-based compensation costs not yet recognized related to unvested stock options was $6.8 million, which is expected to be recognized over the weighted-average remaining requisite service period of 0.8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there were approximately $1.6 million of unrecognized compensation costs related to RSUs.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the condensed consolidated statements of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21, 2023, the Company filed a shelf registration statement on Form S-3 (the “Shelf Registration Statement”) under which it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was able to sell up to 3,316,503 shares of its Class A common stock. In July 2024, the Company increased the size of the offering available under the At-The-Market-Offering Agreement to $150.0 million. As of March 31, 2025, the Company had sold, in the aggregate, 1,153,345 shares of its Class A common stock, at an average price of $2.52 per share, for aggregate net proceeds of $2.8 million after deducting commissions and offering expenses. The Company used the aggregate net proceeds for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per share is computed using the two-class method. Basic net loss per share is computed using the weighted average number of shares of common stock outstanding for the period. Diluted net loss per share reflects the effect of the assumed exercise of any stock options, the vesting of any restricted stock units, the exercise of any warrants (including the Public Warrants and the Private Warrants), and the conversion of any convertible debt (including the Notes), in each case only in the periods in which such effect would have been 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net loss per share amounts were the same for Class A and Class B common stock because the holders of each class are entitled to equal per share dividends. There were no shares of Class C common stock outstanding for any period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holders of Class A and Class B common stock</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w:t>
            </w:r>
          </w:p>
        </w:tc>
      </w:tr>
      <w:tr>
        <w:trPr>
          <w:trHeight w:val="237"/>
        </w:trPr>
        <w:tc>
          <w:tcPr>
            <w:tcW w:w="8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BuzzFeed, Inc. for net loss per common share, basic and diluted: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(35,729)</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36,578</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 attributable to BuzzFeed, Inc.</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77"/>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8"/>
          <w:szCs w:val="18"/>
          <w:color w:val="auto"/>
        </w:rPr>
        <w:t>(1) Net loss per share information is presented on a rounded basis using actual amounts. Minor differences in totals may exist due to rounding.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numerator for net loss per basic and diluted common share from continuing operations excludes the impact of net income (loss) attributable to the noncontrolling interests for all periods presented.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details of securities that were excluded from the calculation of diluted loss per share as the effect would have been anti-dilutive:</w:t>
      </w:r>
    </w:p>
    <w:p>
      <w:pPr>
        <w:spacing w:after="0" w:line="20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41910</wp:posOffset>
            </wp:positionV>
            <wp:extent cx="19456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2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43"/>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7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37"/>
        </w:trPr>
        <w:tc>
          <w:tcPr>
            <w:tcW w:w="79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Company’s effective tax rate on continuing operations differed from the U.S. federal statutory income tax rate of 21% primarily due to (i) limited tax benefits provided for against its current year pre-tax operating loss, as the Company maintains a full valuation allowance against its U.S. deferred tax assets that are not realizable on a more-likely-than-not basis, and (ii) permanent adjustments and state taxes related to the Complex Disposition.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 Costs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February 2025, the Company announced plans to reduce expenses by implementing an approximately 5% reduction in our then-current workforce. The reduction in workforce was intended to streamline the news operations for HuffPost. The Company incurred approximately $1.9 million of restructuring costs for the three months ended March 31, 2025, comprised mainly of severance and related benefits costs, all of which were included in costs of revenue, excluding depreciation and amortization.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the Company announced plans to reduce expenses by implementing an approximately 16% reduction in the then-current workforce (after the Complex Disposition, as discussed within Note 18 herein). In doing so, the Company reduced the size of its centralized operations to enable its individual brands to operate with more autonomy and deliver against their differentiated value propositions for advertisers. The reduction in workforce plan was intended to position the Company to be more agile, sustainable, and profitable. The Company incurred approximately $2.9 million of restructuring costs for the three months ended March 31, 2024, comprised mainly of severance and related benefits costs, of which $1.2 million were</w:t>
      </w:r>
    </w:p>
    <w:p>
      <w:pPr>
        <w:spacing w:after="0" w:line="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included in cost of revenue, excluding depreciation and amortization, $1.5 million were included in sales and marketing, and $0.2 million were included in general and administrative.</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accordance with the Asset Purchase Agreement (the “Complex Sale Agreement;” refer to Note 18 herein for additional details), dated as of February 21, 2024 between a wholly-owned subsidiary of the Company and Commerce Media Holdings, LLC., pursuant to which the Complex Disposition was consummated, Commerce Media reimbursed the Company for approximately $1.8 million in payments related to “Non-Transferring Employees” (as defined in the Complex Sale Agreement), including severance. The amount of these severance and related charges are not included within the restructuring charges noted above. The Company treated the reimbursement as an expense reimbursement.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leases office space under non-cancelable operating leases with various expiration dates through 2029. The Company accounts for leases under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subleases certain leased office space to third parties when it determines there is excess leased capacity. In July 2022, the Company entered into a sublease with a third party with respect to substantially all of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Company’s then-existing corporate headquarters. The sublease commenced on August 26, 2022 and expires on May 30, 2026, unless terminated sooner in accordance with the provisions of the sublease. Pursuant to the terms of the sublease, the subtenant is obligated to pay a fixed monthly rent of $0.8 million, subject to periodic increases. In-lieu of a cash security deposit, the Company received a letter of credit from Citibank for approximately $4.5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in connection with the Complex Disposition, the Company entered into a space sharing license agreement whereby the Company licensed approximately 11,500 square feet (not including shared spaces) to the purchaser of certain assets of Complex Networks in connection with the Complex Disposition. Additionally, in December 2024, the Company entered into space sharing license agreements whereby the Company licensed a portion of the office space in New York City, New York, and Los Angeles, California, to the purchaser of certain assets and liabilities of First We Feast in connection with the First We Feast Disposition. Refer to Note 18 herein for additional details.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2025, the Company entered into a lease agreement for a new office in New York, New York. The lease will commence at a later date in 2025, and expires on the last day of the month in which the 10 year, 4 month anniversary of the rent commencement date occurs. The lease contains an early termination option after 5 years of the rent commencement date, and contains an extension option for 5 years following the expiration date. Undiscounted future payments for this new office lease are approximately $0.2 million through $0.3 million per month throughout the term of the lease. As this lease has not yet commenced, it is not reflected in the Company’s condensed consolidated financial statements. The Company expects to account for this lease as an operating lease under ASC 842 with a right-of-use asset and accompanying lease liability to be recorded in the condensed consolidated balance sheets in the period of commencement.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illustrates the lease costs for the three months ended March 31, 2025 and 2024:</w:t>
      </w:r>
    </w:p>
    <w:p>
      <w:pPr>
        <w:spacing w:after="0" w:line="27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8"/>
              </w:rPr>
              <w:t>6,177</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(4,114)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1,271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8"/>
              </w:rPr>
              <w:t>2,063</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components of total lease cost are recorded within general and administrative expenses within the condensed consolidated statements of operations. The Company does not have material short-term or variable lease costs.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recorded in the Company’s condensed consolidated balance sheets related to operating leases: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0" w:type="dxa"/>
            <w:vAlign w:val="bottom"/>
          </w:tcPr>
          <w:p>
            <w:pPr>
              <w:spacing w:after="0"/>
              <w:rPr>
                <w:sz w:val="1"/>
                <w:szCs w:val="1"/>
                <w:color w:val="auto"/>
              </w:rPr>
            </w:pPr>
          </w:p>
        </w:tc>
      </w:tr>
      <w:tr>
        <w:trPr>
          <w:trHeight w:val="256"/>
        </w:trPr>
        <w:tc>
          <w:tcPr>
            <w:tcW w:w="3740" w:type="dxa"/>
            <w:vAlign w:val="bottom"/>
            <w:tcBorders>
              <w:top w:val="single" w:sz="8" w:color="CCEEFF"/>
            </w:tcBorders>
            <w:shd w:val="clear" w:color="auto" w:fill="CCEEFF"/>
          </w:tcPr>
          <w:p>
            <w:pPr>
              <w:spacing w:after="0"/>
              <w:rPr>
                <w:sz w:val="22"/>
                <w:szCs w:val="22"/>
                <w:color w:val="auto"/>
              </w:rPr>
            </w:pPr>
          </w:p>
        </w:tc>
        <w:tc>
          <w:tcPr>
            <w:tcW w:w="44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0" w:type="dxa"/>
            <w:vAlign w:val="bottom"/>
          </w:tcPr>
          <w:p>
            <w:pPr>
              <w:spacing w:after="0"/>
              <w:rPr>
                <w:sz w:val="1"/>
                <w:szCs w:val="1"/>
                <w:color w:val="auto"/>
              </w:rPr>
            </w:pPr>
          </w:p>
        </w:tc>
      </w:tr>
      <w:tr>
        <w:trPr>
          <w:trHeight w:val="27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 liabilities</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517"/>
        </w:trPr>
        <w:tc>
          <w:tcPr>
            <w:tcW w:w="7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8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553"/>
        </w:trPr>
        <w:tc>
          <w:tcPr>
            <w:tcW w:w="8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March 31, 2025 were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81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35,060</w:t>
            </w:r>
          </w:p>
        </w:tc>
        <w:tc>
          <w:tcPr>
            <w:tcW w:w="0" w:type="dxa"/>
            <w:vAlign w:val="bottom"/>
          </w:tcPr>
          <w:p>
            <w:pPr>
              <w:spacing w:after="0"/>
              <w:rPr>
                <w:sz w:val="1"/>
                <w:szCs w:val="1"/>
                <w:color w:val="auto"/>
              </w:rPr>
            </w:pPr>
          </w:p>
        </w:tc>
      </w:tr>
      <w:tr>
        <w:trPr>
          <w:trHeight w:val="24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31,352</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gridSpan w:val="7"/>
            <w:vMerge w:val="restart"/>
          </w:tcPr>
          <w:p>
            <w:pPr>
              <w:ind w:left="660"/>
              <w:spacing w:after="0"/>
              <w:rPr>
                <w:sz w:val="20"/>
                <w:szCs w:val="20"/>
                <w:color w:val="auto"/>
              </w:rPr>
            </w:pPr>
            <w:r>
              <w:rPr>
                <w:rFonts w:ascii="Times New Roman" w:cs="Times New Roman" w:eastAsia="Times New Roman" w:hAnsi="Times New Roman"/>
                <w:sz w:val="18"/>
                <w:szCs w:val="18"/>
                <w:color w:val="auto"/>
              </w:rPr>
              <w:t>Sublease receipts to be received in the future under noncancelable subleases as of March 31, 2025 were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976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81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8420" w:firstLine="8"/>
        <w:spacing w:after="0" w:line="503"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Guarantees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settled or resolved certain legal matters during the three months ended March 31, 2025 and 2024 that did not individually or in the aggregate have a material impact on the Company’s business or its condensed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 Arbitrations: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Two mass arbitrations (the “Arbitrations”) were initiated before the American Arbitration Association (the “AAA”)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 The parties cross-moved for summary judgment.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20, 2023, the Court of Chancery heard oral arguments on the Company’s motion for summary judgment and the Claimants’ cross-motion to dismiss the Company’s complaint.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15, 2024, the Court of Chancery issued a decision denying BuzzFeed Media Enterprises, Inc.’s motion for summary judgment, and on September 3, 2024, the Court issued a final order dismissing the complaint.</w:t>
      </w:r>
    </w:p>
    <w:p>
      <w:pPr>
        <w:spacing w:after="0" w:line="1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On September 9, 2024, BuzzFeed Media Enterprises, Inc. filed a notice of appeal of the Delaware Chancery Court’s May 15, 2024 decision. An </w:t>
      </w:r>
      <w:r>
        <w:rPr>
          <w:rFonts w:ascii="Times New Roman" w:cs="Times New Roman" w:eastAsia="Times New Roman" w:hAnsi="Times New Roman"/>
          <w:sz w:val="18"/>
          <w:szCs w:val="18"/>
          <w:i w:val="1"/>
          <w:iCs w:val="1"/>
          <w:color w:val="auto"/>
        </w:rPr>
        <w: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banc </w:t>
      </w:r>
      <w:r>
        <w:rPr>
          <w:rFonts w:ascii="Times New Roman" w:cs="Times New Roman" w:eastAsia="Times New Roman" w:hAnsi="Times New Roman"/>
          <w:sz w:val="18"/>
          <w:szCs w:val="18"/>
          <w:color w:val="auto"/>
        </w:rPr>
        <w:t>hearing of the appeal by the Delaware Supreme Court has been scheduled for April 23, 2025.</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18, 2024, the AAA re-initiated the Arbitrations, which had been stayed pending the Delaware Court of Chancery’s decision.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October 24, 2024, BuzzFeed Media Enterprises, Inc. filed its opening appellate brief with the Delaware Supreme Court. Plaintiff has since filed its responsive papers and the matter is now fully briefed.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hearing before the Delaware Supreme Court had been scheduled for April 23, 2025 but since was postponed for rescheduling. In the interim, the Arbitrations were resolved between the parties and the matters are now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in assessing performance. The Company has determined that its chief executive officer is its CODM who makes resource allocation decisions and assesses performance based upon financial information at the consolidated level. The Company manages its operations as a single segment for the purpose of evaluating and making operating decisions.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Information about the Company’s types of products and services from which it derives its revenues, as well as the accounting policies of the Company’s single operating and reportable segment, are the same as those described in the summary of significant accounting policies (refer to Note 2 herein for additional details). The CODM assesses performance based on net loss from continuing operations as reported on the condensed consolidated statements of operations for purposes of deciding how to direct resources.</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From a significant segment expense perspective, the CODM receives and uses a more bifurcated view of total costs of goods sold (excluding depreciation and amortization), as outlined in the table below. Variable costs of goods sold represent amounts related to web hosting, advertising serving platform costs, amounts due to third party websites and platforms to fulfill customers’ advertising campaigns, and production costs paid to third parties. Fixed costs of goods sold primarily represent compensation-related expenses and costs incurred for the publishing of editorial, promotional, and news content across all platforms.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37"/>
        </w:trPr>
        <w:tc>
          <w:tcPr>
            <w:tcW w:w="75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r>
      <w:tr>
        <w:trPr>
          <w:trHeight w:val="37"/>
        </w:trPr>
        <w:tc>
          <w:tcPr>
            <w:tcW w:w="75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costs of goods sold</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costs of goods sold</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20,532</w:t>
            </w:r>
          </w:p>
        </w:tc>
      </w:tr>
      <w:tr>
        <w:trPr>
          <w:trHeight w:val="27"/>
        </w:trPr>
        <w:tc>
          <w:tcPr>
            <w:tcW w:w="7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goods sold, excluding depreciation and amortization</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other significant segment expenses and other significant segment items that comprise consolidated net loss from continuing operations and are</w:t>
      </w:r>
    </w:p>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regularly provided to the CODM are consistent with what is presented on the condensed consolidated statements of operations. The aggregate total of such expenses, which are comprised of sales and marketing, general and administrative, research and development, depreciation and amortization, other income (expense), net, interest expense, net, change in fair value of warrant liabilities, and income tax provision, were $25.0 million and $36.8 million for the three months ended March 31, 2025 and March 31, 2024, respectively.</w:t>
      </w:r>
    </w:p>
    <w:p>
      <w:pPr>
        <w:spacing w:after="0" w:line="175" w:lineRule="exact"/>
        <w:rPr>
          <w:sz w:val="20"/>
          <w:szCs w:val="20"/>
          <w:color w:val="auto"/>
        </w:rPr>
      </w:pPr>
    </w:p>
    <w:p>
      <w:pPr>
        <w:ind w:right="9000" w:firstLine="8"/>
        <w:spacing w:after="0" w:line="503"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Film Costs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Film costs, which were included in prepaid and other assets on the condensed consolidated balance sheets,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Feature films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9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material amortization of film costs for the three months ended March 31, 2025 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Assistance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tax incentives reduced capitalized film costs by $0.7 million as of December 31, 2023 (no material change as of March 31, 2025 or</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December 31, 2024). The Company had receivables related to our production tax credits of $1.3 million and $1.3 million as of March 31, 2025 and December 31, 2024, respectively, included in prepaid and other current assets in our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property and equipment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deferred offering costs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contingent consideration for business combination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 within the condensed consolidated balance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sheets to the amounts shown in the condensed consolidated statements of cash flows: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44,457</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r>
      <w:tr>
        <w:trPr>
          <w:trHeight w:val="26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34,326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61,507</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net consisted of the following for the three months ended March 31,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gain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252</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Held for Sale, Discontinued Operations, Disposals, and Licenses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Held for Sale and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Complex Disposition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determined the assets of Complex Networks, excluding the First We Feast brand, met the criteria for classification as held for sale. The Company disposed of Complex Networks in order to refocus its business around scalable, high-margin, and tech-led revenue streams. As such, the Company concluded the ultimate disposal represented a strategic shift that had a major effect on the Company’s operations and financial results. Therefore, the historical results of Complex Networks are classified as discontinued operations for the three months ended March 31,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21, 2024, a wholly-owned subsidiary of the Company entered into the Complex Sale Agreement with Commerce Media, providing for the sale of certain assets relating to the business of Complex Networks (i.e., the Complex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received in cash upon closing on February 21,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Complex Disposition, the Company was required to (i) repurchase approximately $30.9 million of Notes, and (ii) repay approximately $33.8 million outstanding under the Revolving Credit Facility, plus accrued and unpaid interest of $0.7 million (such amounts were repurchased / repaid shortly after the Complex Disposition; refer to note 8 herein for additional details). The Company terminated the Revolving Credit Facility, except for the $15.5 million in letters of credit then-outstanding. The Company incurred a $0.5 million early termination fee and a standby letter of credit fee of $0.5 million, both of which were paid upon closing of the Complex Disposition on February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21, 2024. Additionally, as described in Note 8 herein, on February 28, 2024, the indenture governing the Notes was amended to, among other things, provide that 95% of the net proceeds of future asset sales must be used to repay the Notes.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historical interest expense associated with the Revolving Credit Facility and 20.6% of the historical interest expense associated with the Notes were allocated to the discontinued operations of the Complex Disposition.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Details of net loss from discontinued operations, net of tax, were as follows (for the Complex Disposition):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7"/>
        </w:trPr>
        <w:tc>
          <w:tcPr>
            <w:tcW w:w="976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37"/>
        </w:trPr>
        <w:tc>
          <w:tcPr>
            <w:tcW w:w="9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97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partial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remeasurement of classification to held for sale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7"/>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results of Complex Networks for the three ended March 31, 2024 are through the date of the Complex Disposition, February 21, 2024. Allocated general corporate overhead costs do not meet the criteria to be presented within net loss from discontinued operations, net of tax, and were excluded from all figures presented in the table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there was tax expense in discontinued operations as a result of the (i) tax effect of a pre-tax loss, (ii) a valuation allowance against net deferred tax assets that were not realizable on a more-likely-than-not basis, and (iii) permanent items and state taxes related to the Complex Disposition.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 valuation allowance against the assets held for sale to reflect the write-down of the carrying value to fair value less estimated costs to sell. The non-cash valuation allowance of $9.5 million was recorded within gain (loss) from classification to held for sale in the summarized financial information of discontinued operations for the year ended December 31, 2023. The Company completed the Complex Disposition during the three months ended March 31, 2024 and recorded a final gain on remeasurement of classification to held for sale of $0.9 million after recording final transaction and related expenses (for a total loss on disposal of approximately $8.6 million).</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had continuing involvement with Commerce Media through a transition services agreement, through which the Company and Commerce Media provided certain services to each other for a period of time following the Disposition (specifically, from February 21, 2024 until August 31, 2024). Furthermore, the Company and Commerce Media entered into a space sharing agreement whereby Commerce Media paid the Company a one-time fee of approximately $2.8 million for use of certain office space in the Company’s corporate headquarters from February 21, 2024 until June 30, 2025 (or such earlier date that the underlying sublease or master lease either expires or is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We Feast Disposition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1, 2024, the Company determined the assets and liabilities (disposal group) of First We Feast met the criteria for classification as held for sale. The Company sold First We Feast to finalize its strategy to refocus its business around higher-margin revenue streams such as programmatic advertising and affiliate commerce, as well as tech-</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led initiatives. As such, the Company determined the ultimate disposal represented a strategic shift that had a major effect on the Company’s operations and financial results. Therefore, the historical results of First We Feast are classified as discontinued operations for the three months ended March 31, 2024.</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11, 2024, a wholly-owned subsidiary of the Company entered into an Asset Purchase Agreement (the “Asset Purchase Agreement”) with FEAST OPCO LLC (the “Purchaser”), providing for the sale by the Company to the Purchaser of certain assets and liabilities related to the Company’s business operating under the “First We Feast” brand (i.e., the First We Feast Disposition). The First We Feast Disposition closed on December 11, 2024, immediately following entry into the Asset Purchase Agreement. Pursuant to the terms of the Asset Purchase Agreement, the Purchaser purchased certain assets and assumed certain liabilities related to the business of First We Feast, and, at the Closing (as defined in the Asset Purchase Agreement), paid a purchase price of $82.5 million, which gives effect to certain closing adjustments for net working capital and accrued employee compensation.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indenture governing the Notes, the Company is required to remit 95% of the net proceeds of asset sales to the holders of the Notes. Prior to the sale of the First We Feast brand, on December 10, 2024, the Company entered into privately negotiated transactions with certain holders of the Notes, in which the Company agreed to repurchase approximately $12.0 million aggregate principal amount of Notes from such holders on December 11, 2024. After giving effect to such private repurchase of $12.0 million of the Notes (together with accrued and unpaid interest), the Company redeemed $75.6 million of Notes with 95% of the net proceeds of the First We Feast Transaction (together with accrued and unpaid interest) and redeemed / repurchased $1.2 million of Notes with cash on hand (together with accrued and unpaid interest). Refer to Note 8 herein for additional details.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Details of net income from discontinued operations, net of tax, are as follows (for the First We Feast Disposition):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7"/>
        </w:trPr>
        <w:tc>
          <w:tcPr>
            <w:tcW w:w="976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37"/>
        </w:trPr>
        <w:tc>
          <w:tcPr>
            <w:tcW w:w="9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97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r>
      <w:tr>
        <w:trPr>
          <w:trHeight w:val="27"/>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7"/>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Allocated general corporate overhead costs do not meet the criteria to be presented within net income from discontinued operations, net of tax, and were excluded from all figures presented in the table above. 63.6% of the historical interest expense associated with the Notes was allocated to the discontinued operation of First We Feast.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there was no income tax provision in First We Feast’s discontinued operations as a result of the valuation allowance against net deferred tax assets that were not realizable on a more-likely-than-not basis.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continuing involvement with the Purchaser through a transition services agreement, pursuant to which the Company and the Purchaser provided certain services to each other for a period of time following the First We Feast disposition (specifically for an initial term from December 12, 2024 through June 11, 2025, unless earlier terminated or extended pursuant to the terms therein). For the three months ended March 31, 2025, the Company collected a total of $0.5 million pursuant to the transition services agreement. Additionally, the Company and the Purchaser entered into space sharing licensing agreements pursuant to which the Purchaser licensed the use of certain office space within the Company’s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offices in New York, New York, and Los Angeles, California, for $0.1 million per month through May 31, 2025, unless earlier terminated in accordance with such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of BuzzFeed, Tasty, and HuffPost’s U.K. Operations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have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supported the BuzzFeed, Tasty, and HuffPost brands were transferred to IDNM as of April 1, 2024. Pursuant to the license agreement, IDNM will pay an annual license fee of between £0.3 million and £0.5 million (or approximately between $0.3 million and $0.6 million as of March 31, 2025), plus a net revenue share of 25% if certain criteria are met, as set forth in the license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BringMe Brand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June 13, 2024, the Company sold 100% of the assets related to the digital media brand known as </w:t>
      </w:r>
      <w:r>
        <w:rPr>
          <w:rFonts w:ascii="Times New Roman" w:cs="Times New Roman" w:eastAsia="Times New Roman" w:hAnsi="Times New Roman"/>
          <w:sz w:val="18"/>
          <w:szCs w:val="18"/>
          <w:i w:val="1"/>
          <w:iCs w:val="1"/>
          <w:color w:val="auto"/>
        </w:rPr>
        <w:t>BringMe</w:t>
      </w:r>
      <w:r>
        <w:rPr>
          <w:rFonts w:ascii="Times New Roman" w:cs="Times New Roman" w:eastAsia="Times New Roman" w:hAnsi="Times New Roman"/>
          <w:sz w:val="18"/>
          <w:szCs w:val="18"/>
          <w:color w:val="auto"/>
        </w:rPr>
        <w:t xml:space="preserve"> for approximately $1.3 million in cash consideration, which is payable in installments through 2028 ($0.7 million has been received as of March 31, 2025). As disclosed in Note 8 herein, the Company is required to repay 95% of the net proceeds for any asset sales to the holders of the Notes. As such, approximately $0.3 million of the Notes were repurchased on February 25, 2025, and the remainder will be repaid in-line with the aforementioned installment schedule. </w:t>
      </w:r>
      <w:r>
        <w:rPr>
          <w:rFonts w:ascii="Times New Roman" w:cs="Times New Roman" w:eastAsia="Times New Roman" w:hAnsi="Times New Roman"/>
          <w:sz w:val="18"/>
          <w:szCs w:val="18"/>
          <w:i w:val="1"/>
          <w:iCs w:val="1"/>
          <w:color w:val="auto"/>
        </w:rPr>
        <w:t>BringMe</w:t>
      </w:r>
      <w:r>
        <w:rPr>
          <w:rFonts w:ascii="Times New Roman" w:cs="Times New Roman" w:eastAsia="Times New Roman" w:hAnsi="Times New Roman"/>
          <w:sz w:val="18"/>
          <w:szCs w:val="18"/>
          <w:color w:val="auto"/>
        </w:rPr>
        <w:t xml:space="preserve"> did not have a material impact on the Company’s net loss for any period presented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 herein for details regarding a non-binding term sheet the Company signed on May 7, 2025 with a potential lender for an asset-backed term loan, with an expected commitment amount of up to $40.0 million, of which such proceeds would be used to repurchase the remaining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of BuzzFeed and related notes thereto included elsewhere within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BuzzFeed, Inc. is home to the best of the Internet. Across entertainment, news, food, pop culture, and commerce, our brands drive conversation and inspire what audiences watch, read, and buy now — and into the future. Our iconic, globally-loved brands include BuzzFeed, HuffPost, and Tasty.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scale and low cost. As a result, each of our brands has a large, loyal, highly-engaged audience that is attractive to advertisers, and through our rich first party data offering and contextual marketing solutions, we are able to help both advertisers and creators effectively and efficiently reach their target audiences. In 2024, our audiences consumed more than 297 million hours of content, and drove over $500 million in attributable transactions for our commerce partners.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we determined that the assets of Complex Networks (as defined below), excluding the First We Feast brand, met the criteria for classification as held for sale. Additionally, we concluded the ultimate disposal, which occurred on February 21, 2024 (i.e., the “Complex Disposition”), represented a strategic shift that had a major effect on our operations and financial results. Moreover, we concluded the assets of the First We Feast business met the criteria for classification as held for sale as of December 1, 2024. We determined the ultimate disposal, which took place on December 11, 2024 (i.e., the “First We Feast Disposition”), represented a strategic shift that had a major effect on our operations and final results. As such, the historical financial results of Complex Networks and First We Feast have been reflected as discontinued operations in our condensed consolidated financial statements for the three months ended March 31, 2024. Refer to Note 18 to the condensed consolidated financial statements included elsewhere within this Quarterly Report on Form 10-Q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merger agreement pursuant to which the Business Combination was consummated, we issued, and certain investors purchased, $150.0 million aggregate principal amount of unsecured convertible notes due 2026 (the “Notes”) concurrently with the closing of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Combination. We repurchased approximately $120.0 million of the Notes in 2024, and $0.3 million of the Notes on February 25, 2025, leaving approximately $29.7 million aggregate principal amount of Notes outstanding as of March 31, 2025. Refer to Note 8 to the condensed consolidated financial statements included elsewhere within this Quarterly Report on Form 10-Q for additional details.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we announced plans to reduce expenses by implementing an approximately 5% reduction in our then-current workforce. The reduction in workforce was intended to streamline the news operations for HuffPost. We incurred approximately $1.9 million of restructuring costs for the three months ended March 31, 2025, comprised mainly of severance and related benefits costs, all of which were included in costs of revenue, excluding depreciation and amortization.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we announced plans to reduce expenses by implementing an approximately 16% reduction in the then-current workforce (after the Complex Disposition). In doing so, we reduced the size of our centralized operations to enable our individual brands to operate with more autonomy and deliver against their differentiated value propositions for advertisers. The reduction in workforce plan was intended to position us to be more agile, sustainable, and profitable. We incurred approximately $2.9 million of restructuring costs for the three months ended March 31, 2024, comprised mainly of severance and related benefits costs, of which $1.2 million were included in cost of revenue, excluding depreciation and amortization, $1.5 million were included in sales and marketing, and $0.2 million were included in general and administrative.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accordance with the Asset Purchase Agreement (the “Complex Sale Agreement”), dated as of February 21, 2024 between a wholly-owned subsidiary of the Company and Commerce Media Holdings, LLC., pursuant to which the Complex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Current Economic Conditions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2024 and to date in 2025, and we expect these factors will continue to adversely affect our revenue in 2025. In addition, uncertainty surrounding macroeconomic factors in the U.S. and globally characterized by inflationary pressure, elevated interest rates, geopolitical issues, trade tensions between the U.S. and its trading partners, tariffs, or other factors may result in a recession, which could have a material adverse effect on our business. Refer to Part I, Item 1A “Risk Factors” within our Annual Report on Form 10-K for the fiscal year ended December 31, 2024 for additional details.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operational highlights for the periods presented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6"/>
              </w:rPr>
              <w:t>37,009</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(23,466)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(26,950)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Non-GAAP</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(14,367)</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Non-Financial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1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Spent</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6"/>
              </w:rPr>
              <w:t>67,324</w:t>
            </w:r>
          </w:p>
        </w:tc>
      </w:tr>
      <w:tr>
        <w:trPr>
          <w:trHeight w:val="255"/>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340" w:hanging="332"/>
        <w:spacing w:after="0" w:line="26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Reconciliation from net loss from continuing operations to Adjusted EBITDA</w:t>
      </w:r>
      <w:r>
        <w:rPr>
          <w:rFonts w:ascii="Times New Roman" w:cs="Times New Roman" w:eastAsia="Times New Roman" w:hAnsi="Times New Roman"/>
          <w:sz w:val="18"/>
          <w:szCs w:val="18"/>
          <w:color w:val="auto"/>
        </w:rPr>
        <w:t>” for a reconciliation of Adjusted EBITDA (as defined below) to the most directly comparable financial measure in accordance with accounting principles generally accepted in the U.S (“ U.S. GAAP”).</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Time Spent as the estimated total number of hours spent by users on our owned and operated U.S. properties, our content on Apple News, and 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X (formerly Twitter). There 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For the three months ended March 31, 2025, Time Spent increased by 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Performance Metrics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use certain metrics to assess the operational and financial performance of our business. Effective January 1, 2023, we introduced new metrics with respect to our branded content revenue, which represents the majority of our reported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operating metrics for our branded content revenue for the three months ended March 31, 2025 and 2024 (on a trailing 12-month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Pr>
          <w:p>
            <w:pPr>
              <w:spacing w:after="0"/>
              <w:rPr>
                <w:sz w:val="16"/>
                <w:szCs w:val="16"/>
                <w:color w:val="auto"/>
              </w:rPr>
            </w:pPr>
          </w:p>
        </w:tc>
      </w:tr>
      <w:tr>
        <w:trPr>
          <w:trHeight w:val="37"/>
        </w:trPr>
        <w:tc>
          <w:tcPr>
            <w:tcW w:w="7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branded content advertiser revenue retention</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7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Branded content advertisers</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&gt;40</w:t>
            </w:r>
          </w:p>
        </w:tc>
      </w:tr>
      <w:tr>
        <w:trPr>
          <w:trHeight w:val="27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branded content advertiser revenue</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0.7</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jc w:val="both"/>
        <w:ind w:left="340" w:hanging="332"/>
        <w:spacing w:after="0" w:line="25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branded content advertiser revenue retention is calculated by dividing the branded content revenue for the trailing 12 months from the close of the current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majority of our revenue is generated through the following types of arrangements:</w:t>
      </w:r>
    </w:p>
    <w:p>
      <w:pPr>
        <w:spacing w:after="0" w:line="227" w:lineRule="exact"/>
        <w:rPr>
          <w:sz w:val="20"/>
          <w:szCs w:val="20"/>
          <w:color w:val="auto"/>
        </w:rPr>
      </w:pPr>
    </w:p>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Consists of display, programmatic, and video advertising on our owned and operated sites and applications and social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revenue generated from creating content, including promotional content, and customer advertising (herein referred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content”). Additionally, studio revenue generally includes revenue from feature films, content licensing, TV projects, and other projects inspired by BuzzFeed IP. Content revenue is recognized when the content, or the related action (click or view), is delivered.</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Commerce and other: </w:t>
      </w:r>
      <w:r>
        <w:rPr>
          <w:rFonts w:ascii="Times New Roman" w:cs="Times New Roman" w:eastAsia="Times New Roman" w:hAnsi="Times New Roman"/>
          <w:sz w:val="18"/>
          <w:szCs w:val="18"/>
          <w:color w:val="auto"/>
        </w:rPr>
        <w:t>Includes affiliate marketplace revenue and licensing of intellectual property. We participate in multiple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with third parties whereby we provide affiliate links which redirect the 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excluding depreciation and amortization: </w:t>
      </w:r>
      <w:r>
        <w:rPr>
          <w:rFonts w:ascii="Times New Roman" w:cs="Times New Roman" w:eastAsia="Times New Roman" w:hAnsi="Times New Roman"/>
          <w:sz w:val="18"/>
          <w:szCs w:val="18"/>
          <w:color w:val="auto"/>
        </w:rPr>
        <w:t>Consists primarily of compensation-related expenses and costs incurred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creation of editorial, promotional, and news content across all platforms, as well as amounts due to third-party websites and platforms to fulfill customers’ advertising campaigns. Production costs paid to third parties and web hosting and advertising serving platform costs are also included in cost of revenue, excluding depreciation and amortization.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color w:val="auto"/>
        </w:rPr>
        <w:t>: Consists primarily of compensation-related expenses for sales employees. In addition, sales and marketing expenses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costs and market research.</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Consists of compensation-related expenses for corporate employees. Also, it consists of expenses for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services fees, insurance costs, and other general overhead costs.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Consists primarily of compensation-related expenses incurred for the development of, enhancements 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of our website, technology platforms, data collection, and infrastructure. Research and development expenses that do not meet the criteria for capitalization are expensed as incurred.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Represents depreciation of property and equipment and amortization of intangible assets and capitalized software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 (expense),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foreign exchange gains and losses, gains and losses on investments, gains and losses on dispositions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gains and losses on disposition of assets, income from transition service agreements, and other miscellaneous income and expenses.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Consists of interest expense incurred on our borrowings, net of interest income on interest bearing checking accounts.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warrant liabilities: </w:t>
      </w:r>
      <w:r>
        <w:rPr>
          <w:rFonts w:ascii="Times New Roman" w:cs="Times New Roman" w:eastAsia="Times New Roman" w:hAnsi="Times New Roman"/>
          <w:sz w:val="18"/>
          <w:szCs w:val="18"/>
          <w:color w:val="auto"/>
        </w:rPr>
        <w:t>Reflects the changes in warrant liabilities, which is primarily based on the market price of our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listed on The Nasdaq Capital Market under the symbol “BZFDW.” Refer to Note 4 to the condensed consolidated financial statements included elsewhere within this Quarterly Report on Form 10-Q for additional details.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Represents federal, state, and local taxes based on income in multiple domestic and international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March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data for each of the periods presented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60,475</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Costs and expenses included in stock-based compensation expense are included in the condensed consolidated statements of operations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42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8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375"/>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 of operations data for each of the periods presented as a percentage of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20"/>
                <w:szCs w:val="20"/>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9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Percentages have been rounded for presentation purposes and may differ from non-rounded results.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 was as follows (in thousands):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20,944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6,735</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Commerce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6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37,009</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Advertising revenue increased by $0.4 million, or 2%, for the three months ended March 31, 2025, driven by a $2.5 million increase in programmatic advertising revenue primarily reflecting improved pricing on our owned and operated properties, partially offset by a $2.1 million decline in direct sold advertising products. For the three months ended March 31, 2025 and 2024, programmatic advertising revenue was $16.9 million and $14.4 million, respectively, and direct sold advertising was $4.5 million and $6.6 million, respectively. The decline in direct sold advertising revenue reflects broader macroeconomic headwinds, and a shift in our strategy to focus more on programmatic advertising.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Content revenue decreased by $2.3 million, or 34%, for the three months ended March 31, 2025, primarily driven by a $3.2 million decrease in direct sold content revenue, partially offset by a $0.9 million increase in studio revenue. For the three months ended March 31, 2025 and 2024, direct sold content revenue was $2.9 million and $6.1 million, respectively, and studio revenue was $1.5 million and $0.6 million, respectively. The decline in direct sold content revenue was primarily driven by a decrease in the number of branded content customers, which is due in part to a leaner sales team</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relative to the year-ago period as we focus on programmatic advertising and affiliate revenue products. The increase in studio revenue was largely driven by the timing of revenue recognition with respect to delivery and release of feature films.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Commerce and other increased by $0.9 million, or 9%, for the three months ended March 31, 2025, driven by a $1.0 million increase in affiliate commission revenue, partially offset by a $0.1 million decline in other revenue, such as product licensing. For the three months ended March 31, 2025 and 2024, affiliate commerce revenue was $9.8 million and $8.8 million, respectively, and other revenue, such as product licensing, was $0.4 million and $0.5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excluding depreciation and amortization: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27,139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and amortization, decreased by $3.6 million, or 13%, for the three months ended March 31, 2025, driven by a $3.3 million decrease in compensation expense reflecting our previous cost savings actions, a $0.8 million decrease in consulting and content expenses, and a $0.2 million decrease in variable costs of revenue due to changes in the revenue mix and the decline in revenue year-over-year. This was partially offset by a $0.7 million increase in restructuring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8,378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$4.1 million, or 49%, for the three months ended March 31, 2025, driven by a $2.5 million decrease in compensation and related expenses reflecting our previous cost savings actions and a $1.5 million decrease in restructuring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16,249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$1.9 million, or 12%, for the three months ended March 31, 2025, driven by a $1.7 million decrease in compensation expenses reflecting our previous cost savings actions, a $0.5 million increase in sublease income, and a $0.3 million decrease in rent expense, partially offset by a $0.5 million increase in stock-based compensation expense and a $0.1 million increase in professional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3,230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decreased by $0.2 million, or 5%, for the three months ended March 31, 2025.</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5,479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depreciation and amortization expenses decreased by $0.9 million, or 16%, primarily driven by a decrease in amortization expense associated with capitalized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other income, net of $1.3 million for the three months ended March 31, 2025, compared to other expense, net of $0.6 million for the three months ended March 31, 2024. The change of $1.9 million was primarily driven by a $0.9 million increase in exchange gain (primarily unrealized), a $0.5 million decrease in other expense, and a $0.5 million increase in other income principally reflecting transition services’ income from the purchaser of First We Feast.</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 percentage is not meaningful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(2,209)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decreased by $1.0 million, or 47%, for the three months ended March 31, 2025, driven by significantly less debt outstanding relative to the year-ago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recorded a gain related to the change in fair value of warrant liabilities of $1.2 million compared to a loss of $nil for the three months ended March 31, 2024.</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 percentage is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980" w:type="dxa"/>
            <w:vAlign w:val="bottom"/>
          </w:tcPr>
          <w:p>
            <w:pPr>
              <w:spacing w:after="0"/>
              <w:rPr>
                <w:sz w:val="21"/>
                <w:szCs w:val="21"/>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Company’s effective tax rate on continuing operations differed from the U.S. federal statutory income tax rate of 21% primarily due to limited tax benefits provided for against its current</w:t>
      </w:r>
    </w:p>
    <w:p>
      <w:pPr>
        <w:sectPr>
          <w:pgSz w:w="11900" w:h="16838" w:orient="portrait"/>
          <w:cols w:equalWidth="0" w:num="1">
            <w:col w:w="11240"/>
          </w:cols>
          <w:pgMar w:left="320" w:top="513" w:right="339" w:bottom="974"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974"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 pre-tax operating loss, as the Company maintains a full valuation allowance against its U.S. deferred tax assets that are not realizable on a more-likely-than-not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discontinued operations, net of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Complex Disposition and the First We Feast Disposition were finalized during 2024, and therefore there is no activity in the current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from continuing operations, excluding the impact of net income (loss) attributable to noncontrolling interests, income tax provision, interest expense, net, other (income) expense, net, depreciation and amortization, stock-based compensation, change in fair value of warrant liabilities, restructuring costs, and other non-cash and non-recurring items that management believes are not indicative of ongoing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should not be considered a substitute for loss from continuing operations, net loss, or net loss attributable to BuzzFeed,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 have reported in accordance with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loss from continuing operations to Adjusted EBITDA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consolidated net loss from continuing operations to Adjusted EBITDA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Refer to elsewhere above in Item 2. “Management’s Discussion and Analysis of Financial Condition and Results of Operations” herein for a discussion of the distinct restructuring activities during the three months ended March 31, 2025 and 2024.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cash generated from continuing operations. Our cash and cash equivalents consist of demand deposits with financial institutions and investments in money market funds.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our financial condition may adversely affect our ability to sustain our operations over the next 12 months beyond the issuance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generally incurred significant losses and used net cash flows from operations to grow our owned and operated properties and our iconic brands. During the three months ended March 31, 2025, we incurred a net loss of $12.5 million and generated net cash flows from operations of $1.3 million. Additionally, as of March 31, 2025, we had unrestricted cash and cash equivalents of $34.3 million to fund our operations and an accumulated deficit of $634.5 million.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2021, we issued $150.0 million of the Notes. As described in Note 8 to the condensed consolidated financial statements included elsewhere within this Quarterly Report on Form 10-Q, we repurchased approximately $120.0 million of the Notes in 2024, and $0.3 million of the Notes in February 2025, thereby leaving approximately $29.7 million aggregate principal amount of Notes outstanding as of March 31, 2025. As described in Note 8 to the condensed consolidated financial statements included elsewhere within this Quarterly Report on Form 10-Q, each holder of a Note has the right under the indenture governing the Notes to require us to repurchase, for cash, all or a portion of the Notes held by such holder (i) at any time on or after May 31, 2025, at a repurchase price equal to the principal amount plus accrued and unpaid interest, due within five business days of receipt of the holder’s notice requiring repurchase, or (ii) upon the occurrence of a fundamental change (as defined in the indenture governing the Notes) before the maturity date (i.e., December 3, 2026), at a repurchase price equal to 101% of the principal amount plus accrued and unpaid interest. Our failure to comply with the provisions of the indenture governing the Notes, including our failure to repurchase the Notes, as required by the indenture governing the Notes, could trigger an event of default under the indenture, which would allow the holders of Notes to accelerate the maturity of the Notes and require us to repay the Notes prior to their maturity. Moreover, we will be required to repay the Notes, in cash, at their maturity, unless earlier converted, redeemed, or repurchased.</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address our capital needs, we have entered into a non-binding term sheet with a potential lender for an asset-backed term loan (the “Loan”), with an expected commitment amount of up to $40.0 million and a three-year term. The term sheet provides that we and the lender aim to close this Loan by May 23, 2025, and in conjunction with any closing, we will incur certain legal and other debt issuance fees. Proceeds from the Loan, if it were to close, would be used to repurchase the remaining Notes. However, we can provide no assurance that we will be successful in closing the Loan, obtaining other new financing, or, if the Loan fails to close, in generating sufficient cash inflows from operations or otherwise to fund our obligations as they become due over the next 12 months beyond the issuance date. Additionally, we may implement incremental cost savings actions and pursue additional sources of outside capital to supplement our funding obligations as they become due, which includes additional offerings of our Class A common stock under the at-the-market offering (refer to Note 9 to the condensed consolidated financial statements included elsewhere within this Quarterly Report on Form 10-Q for additional details) or issuances of other securities exercisable for or exchangeable or convertible into shares of our Class A common stock. However, as of the issuance date, no additional sources of outside capital have been secured or were deemed probable of being secured (the aforementioned Loan term sheet is non-binding), other than our at-the-market-offering, which is subject to the conditions contained in the At-The-Market Offering Agreement dated June 20, 2023 with Craig-Hallum Capital Group LLC. We can provide no assurance we will successfully generate sufficient liquidity to fund our operations for the next 12 months beyond the issuance date, or if necessary, secure additional outside capital (including through our at-the-market-offering), implement incremental cost savings, or repurchase all or a portion of the Notes outstanding if required to do so as described in “Convertible Notes” below. We believe the Loan, if it were to close, would allow us to generate sufficient liquidity in order to repurchase the remaining Notes upon receipt of the holders of the Notes’ put options, which become exercisable on or after May 31, 2025.</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with our external advisors to optimize our condensed consolidated balance sheet and evaluate our assets.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30, 2020, we entered into a three-year, $50.0 million, revolving loan and standby letter of credit facility agreement, which was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our landlords. We had no outstanding letters of credit under the Revolving Credit Facility at March 31, 2025 or December 31, 2024, as described below.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21, 2024, in connection with the Complex Disposition as discussed within Note 18 to the condensed consolidated financial statements included elsewhere within this Quarterly Report on Form 10-Q, we terminated the Revolving Credit Facility, except for the $15.5 million in letters of credit then-outstanding. However, during the second quarter of 2024, we terminated the $15.5 million in letters of credit outstanding under the Revolving Credit Facility, resulting in the full termination of the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Letter of Credit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we entered into an agreement with a financial institution for standby letters of credit in the amount of $15.5 million, which were issued during the second quarter of 2024 in favor of certain of our landlords and remain outstanding as of March 31, 2025. Additionally, during the first quarter of 2025, we entered into an agreement with a financial institution for a standby letter of credit in the amount of approximately $2.9 million, which was issued in the first quarter of 2025 in favor of the landlord for our new corporate headquarters and remains outstanding as of March 31, 2025. Refer to Note 13 to the condensed consolidated financial statements included elsewhere within this Quarterly Report on Form 10-Q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which are governed by an indenture, dated December 3, 2021, which was amended on each of July 10, 2023, February 28, 2024, October 28, 2024, and December 10, 2024. The Notes are convertible into shares of our Class A common stock at a conversion price of approximately $50.00 and bear interest at a rate of 8.50% per annum, payable semi-annually. The Notes mature on December 3, 2026. As of March 31, 2025, the Notes were convertible into approximately 594,301 shares of our Class A common stock.</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Each holder of a Note will have the right under the indenture governing the Notes to require us to repurchase, for cash, all or a portion of the Notes held by such holder (i) at any time on or after May 31, 2025, at a repurchase price equal to the principal amount plus accrued and unpaid interest, due within five business days of receipt of the holder’s notice requiring repurchase, or (ii) upon the occurrence of a fundamental change (as defined in the indenture governing the Notes) before the maturity date (i.e., December 3, 2026), at a repurchase price equal to 101% of the principal amount plus accrued and unpaid interest.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 failure to comply with the other provisions of the indenture governing our Notes could also trigger an event of default under the indenture governing the Notes, which would also allow the holders of the Notes to accelerate the maturity of the Notes and require us to repay the Notes prior to their maturity. Moreover, we will be required to repay the Notes, in cash, at their maturity, unless earlier converted, redeemed, or repurchased. We may not have enough available cash or be able to obtain financing at the time we are required to make repurchases of such Notes surrendered.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(currently $50.00) for more than 20 trading days during a period of 30 consecutive trading days, which has yet to occur.</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our ability to incur additional debt or liens, make restricted payments or investments, dispose of significant assets, transfer specified intellectual property, or enter into transactions with affiliates. Additionally, pursuant to the second amendment of the indenture on February 28, 2024, done in connection with the Complex Disposition, 95% of the net proceeds of future asset sales must be used to repay the Notes.</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2024, we repurchased approximately $120.0 million of the Notes, and in February 2025, we repurchased approximately $0.3 million of the Notes, thereby leaving approximately $29.7 million aggregate principal amount of Notes outstanding as of March 31, 2025. Refer to Note 8 to the condensed consolidated financial statements included elsewhere within this Quarterly Report on Form 10-Q for additional details.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Cash flows provided by (used in) operating, investing, and financing activities from continuing operations were as follows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 operating activities from continuing operations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 from continuing operations</w:t>
            </w:r>
          </w:p>
        </w:tc>
        <w:tc>
          <w:tcPr>
            <w:tcW w:w="9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(65,828)</w:t>
            </w:r>
          </w:p>
        </w:tc>
      </w:tr>
      <w:tr>
        <w:trPr>
          <w:trHeight w:val="27"/>
        </w:trPr>
        <w:tc>
          <w:tcPr>
            <w:tcW w:w="8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At-The-Market-Offering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As of March 31, 2025, we sold, in the aggregate, 1,153,345 shares of our Class A common stock, at an average price of $2.52 per share, for aggregate net proceeds of $2.8 million after deducting commissions and offering expenses. We used the aggregate net proceeds for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cash provided by operating activities from continuing operations was $1.3 million compared to cash used in operating activities from continuing operations of $3.9 million for the three months ended March 31, 2024. The change was primarily driven by a $16.3 million increase in the change in accounts payable, a $12.5 million improvement in net loss, adjusted for non-cash items, a $1.2 million increase in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deferred revenue, and a $1.0 million increase in the change in accrued expenses, other current liabilities, and other liabilities. These were partially offset by a $15.8 million decrease in the change in accounts receivable, a $4.9 million decrease in the change in accrued compensation, a $4.2 million decrease in the change in prepaid expenses and other current assets, and a $0.8 million decrease in the change in lease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cash used in investing activities from continuing operations was $3.4 million, which consisted of $3.1 million of capital expenditures on internal-use software and $0.4 million of other capital expenditures, partially offset by $0.3 million in proceeds received from the previous sale of an asset.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cash used in investing activities from continuing operations was $3.4 million, which consisted of $3.3 million of capital expenditures on internal-use software and $0.1 million of other capital expenditures. For the three months ended March 31, 2024, net cash provided by investing activities from discontinued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was $108.6 million, which represents the cash received for the sale of certain assets relating to the business of Complex Networks (i.e., the Complex Disposition) and was non-recurring in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used in financing activities was $2.5 million, which consisted of $2.1 million in consent solicitation fee payments and a $0.3 million partial repurchase of the Notes.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cash used in financing activities was $65.8 million, which consisted of a $33.8 million full repayment of the Revolving Credit Facility, a $30.9 million partial repurchase of the Notes, a $0.6 million payment of deferred issuance costs, and a $0.5 million early termination payment for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obligations for repayment of borrowings under the Notes, and obligations for office space under non-cancelable operating leases with various expiration dates through 2029 (excluding the new office lease that has not yet commenced). Refer to Notes 8 and 13 to the condensed consolidated financial statements included elsewhere in this Quarterly Report on Form 10-Q for additional details regarding our contractual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and related notes in accordance with U.S.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2024 for a more complete discussion of our critical accounting policies and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elsewhere within this Quarterly Report on Form 10-Q for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may not be comparable to companies that comply with new or revised accounting standards as of public company effective dates.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disclosures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U.S. and internationally, and we are exposed to market risks in the ordinary course of our business. These risks include primarily foreign currency exchange, interest rate fluctuation and equity investment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transact business in various foreign currencies and obtain international revenue, as well as incur costs denominated in foreign currencies — primarily the British pound, Japanese yen, Australian dollar,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condensed consolidated financial statements for the three months ended March 31, 2025 or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as of both March 31, 2025 and December 31, 2024. Refer to Note 4 to the condensed consolidated financial statements included elsewhere in this Quarterly Report on Form 10-Q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years ended, December 31, 2024, 2023, and 2022, we identified material weaknesses in our internal control over financial reporting, which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in our internal control over financial reporting related to: (i) a lack of formalized internal controls and segregation of duties surrounding our financial statement close process, and (ii) a lack of formalized information technology (“IT”) general controls in the area of change management and logical security controls over financial IT systems. The remediation of these deficiencies has required, and will continue to require, a significant amount of time and resources from management and other personnel.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 A Lack of Formalized Internal Controls and Segregation of Duties Surrounding our Financial Statement Close Process: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2023 and 2024, and continuing into 2025, with the oversight of the audit committee of our board of directors, we continued to execute remediation plans and enhanced controls within the financial statement close process, including documentation improvements for certain higher risk and material balance sheet reconciliation schedules and supporting financial calculations and analyses.</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including the completeness and accuracy of information used in controls and the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w:t>
      </w:r>
    </w:p>
    <w:p>
      <w:pPr>
        <w:spacing w:after="0" w:line="177" w:lineRule="exact"/>
        <w:rPr>
          <w:sz w:val="20"/>
          <w:szCs w:val="20"/>
          <w:color w:val="auto"/>
        </w:rPr>
      </w:pPr>
    </w:p>
    <w:p>
      <w:pPr>
        <w:ind w:left="340" w:right="440" w:hanging="8"/>
        <w:spacing w:after="0" w:line="286" w:lineRule="auto"/>
        <w:tabs>
          <w:tab w:leader="none" w:pos="60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Lack of Formalized Information Technology General Controls in the Area of Change Management and Logical Security Controls Over Financial Information Technology Systems:</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2023 and 2024, and continuing into 2025,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Management has hired resources with technical expertise and will continue to centralize security administration for several financial applications and further enhance logical access controls for the remaining applications.</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management will continue to implement processes and controls to further support and provide appropriate oversight over key financial systems, and intends to continue to implement remediation plans, including, but not limited to: centralizing the change management function; implementing policies and procedures with respect to change management and system development; documenting test procedures and approvals relating to changes made to production; maintaining separate development, test, and production environments; and formalizing controls around security administration.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quarter ended March 31,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 of litigation and other legal matters is inherently subject to uncertainties, we feel comfortable with the adequacy of our insurance coverage.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 Arbitrations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Two mass arbitrations (the “Arbitrations”) were initiated before the American Arbitration Association (the “AAA”) on March 15, 2022 against us and certain of our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29, 2023, BuzzFeed Media Enterprises, Inc., filed a complaint in the Delaware Court of Chancery seeking to enjoin the Arbitrations on the grounds that, inter alia, the Claimants’ purported causes of action arise from their rights as the Company’s shareholders, are governed by our charter, including its forum selection provision, and are therefore not arbitrable. The complaint sought declaratory and injunctive relief. The parties cross-moved for summary judgment.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20, 2023, the Court of Chancery heard oral arguments on BuzzFeed Media Enterprises, Inc.’s motion for summary judgment and the Claimants’ cross-motion to dismiss the Company’s complaint.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15, 2024, the Court of Chancery issued a decision denying BuzzFeed Media Enterprises, Inc.’s motion for summary judgment, and on September 3, 2024, the Court issued a final order dismissing the complaint.</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On September 9, 2024, BuzzFeed Media Enterprises, Inc. filed a notice of appeal of the Delaware Chancery Court’s May 15, 2024 decision. An </w:t>
      </w:r>
      <w:r>
        <w:rPr>
          <w:rFonts w:ascii="Times New Roman" w:cs="Times New Roman" w:eastAsia="Times New Roman" w:hAnsi="Times New Roman"/>
          <w:sz w:val="18"/>
          <w:szCs w:val="18"/>
          <w:i w:val="1"/>
          <w:iCs w:val="1"/>
          <w:color w:val="auto"/>
        </w:rPr>
        <w: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banc </w:t>
      </w:r>
      <w:r>
        <w:rPr>
          <w:rFonts w:ascii="Times New Roman" w:cs="Times New Roman" w:eastAsia="Times New Roman" w:hAnsi="Times New Roman"/>
          <w:sz w:val="18"/>
          <w:szCs w:val="18"/>
          <w:color w:val="auto"/>
        </w:rPr>
        <w:t>hearing of the appeal by the Delaware Supreme Court has been scheduled for April 23, 2025.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18, 2024, the AAA re-initiated the Arbitrations, which had been stayed pending the Delaware Court of Chancery’s decision.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October 24, 2024, BuzzFeed Media Enterprises, Inc. filed its opening appellate brief with the Delaware Supreme Court. Plaintiff has since filed its responsive papers and the matter is now fully briefed.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hearing before the Delaware Supreme Court had been scheduled for April 23, 2025 but since was postponed for rescheduling. In the interim, the Arbitrations were resolved between the parties and the matters are now closed.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other legal proceedings in which we are involved, refer to Note 14 to the condensed consolidated financial statements included elsewhere in this Quarterly Report on Form 10-Q for additional details.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Disclosure about our existing risk factors is set forth in Item 1A, “Risk Factors,” in our Annual Report on Form 10-K for the fiscal year ended December 31, 2024. Our risk factors have not changed materially since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4"/>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60" w:type="dxa"/>
            <w:vAlign w:val="bottom"/>
            <w:gridSpan w:val="20"/>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82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93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Agreement and Plan of Merger, dated as of June 24, 2021, by and among 890 5th Avenue Partners, Inc., Bolt Merger Sub I, Inc.,</w:t>
              </w:r>
            </w:hyperlink>
          </w:p>
        </w:tc>
        <w:tc>
          <w:tcPr>
            <w:tcW w:w="20" w:type="dxa"/>
            <w:vAlign w:val="bottom"/>
          </w:tcPr>
          <w:p>
            <w:pPr>
              <w:spacing w:after="0"/>
              <w:rPr>
                <w:sz w:val="17"/>
                <w:szCs w:val="17"/>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Bolt Merger Sub II, Inc., and BuzzFeed, Inc.(incorporated by reference to Exhibit 2.1 to the Company’s Current Report on Form</w:t>
              </w:r>
            </w:hyperlink>
          </w:p>
        </w:tc>
        <w:tc>
          <w:tcPr>
            <w:tcW w:w="20" w:type="dxa"/>
            <w:vAlign w:val="bottom"/>
          </w:tcPr>
          <w:p>
            <w:pPr>
              <w:spacing w:after="0"/>
              <w:rPr>
                <w:sz w:val="17"/>
                <w:szCs w:val="17"/>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8-K filed on June 24, 2021).</w:t>
              </w:r>
            </w:hyperlink>
          </w:p>
        </w:tc>
        <w:tc>
          <w:tcPr>
            <w:tcW w:w="7260" w:type="dxa"/>
            <w:vAlign w:val="bottom"/>
            <w:gridSpan w:val="25"/>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Amendment No. 1 to Agreement and Plan of Merger, dated as of October 28, 2021, by and among 890 5th Avenue Partners,</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0"/>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Inc., Bolt Merger Sub I, Inc., Bolt Merger Sub II, Inc., and BuzzFeed, Inc. (incorporated by reference to Exhibit 2.2 to the</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6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Company’s Registration Statement on Form S-4/A filed on October 29, 2021).</w:t>
              </w:r>
            </w:hyperlink>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2.3†*</w:t>
            </w: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Membership Interest Purchase Agreement, dated as of March 27, 2021, by and among BuzzFeed, Inc., CM Partners, LLC,</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0"/>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Complex Media, Inc., Verizon CMP Holdings LLC and HDS II, Inc. (incorporated by reference to Exhibit 2.2 to the Company’s</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Registration Statement on Form S-4 filed on July 30, 2021).</w:t>
              </w:r>
            </w:hyperlink>
          </w:p>
        </w:tc>
        <w:tc>
          <w:tcPr>
            <w:tcW w:w="6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Amendment No. 1 to the Membership Interest Purchase Agreement, dated as of June 24, 2021, by and among BuzzFeed, Inc.,</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0"/>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CM Partners, LLC, Complex Media, Inc., Verizon CMP Holdings LLC and HDS II, Inc. (incorporated by reference to Exhibit</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the Company’s Registration Statement on Form S-4 filed on July 30, 2021).</w:t>
              </w:r>
            </w:hyperlink>
          </w:p>
        </w:tc>
        <w:tc>
          <w:tcPr>
            <w:tcW w:w="60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74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Asset Purchase Agreement, dated as of February 21, 2024, by and between BuzzFeed Media Enterprises, Inc. and Commerce</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0"/>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Media Holdings, LLC (incorporated by reference to Exhibit 2.1 to the Company’s Current Report on Form 8-K filed on</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February 21, 2024).</w:t>
              </w:r>
            </w:hyperlink>
          </w:p>
        </w:tc>
        <w:tc>
          <w:tcPr>
            <w:tcW w:w="7840" w:type="dxa"/>
            <w:vAlign w:val="bottom"/>
            <w:tcBorders>
              <w:top w:val="single" w:sz="8" w:color="0000FF"/>
            </w:tcBorders>
            <w:gridSpan w:val="2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9320" w:type="dxa"/>
            <w:vAlign w:val="bottom"/>
            <w:gridSpan w:val="30"/>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Asset Purchase Agreement, dated as of December 11, 2024, by and between BuzzFeed Media Enterprises, Inc. and Feast OpCo</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LLC (incorporated by reference to Exhibit 2.1 to the Company's Current Report on Form 8-K filed on December 12, 2024).</w:t>
              </w:r>
            </w:hyperlink>
          </w:p>
        </w:tc>
        <w:tc>
          <w:tcPr>
            <w:tcW w:w="40" w:type="dxa"/>
            <w:vAlign w:val="bottom"/>
            <w:gridSpan w:val="2"/>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9320" w:type="dxa"/>
            <w:vAlign w:val="bottom"/>
            <w:gridSpan w:val="30"/>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 xml:space="preserve">Second Amended and Restated Certificate of Incorporation of BuzzFeed, Inc., </w:t>
              </w:r>
              <w:r>
                <w:rPr>
                  <w:rFonts w:ascii="Times New Roman" w:cs="Times New Roman" w:eastAsia="Times New Roman" w:hAnsi="Times New Roman"/>
                  <w:sz w:val="18"/>
                  <w:szCs w:val="18"/>
                  <w:color w:val="0000EE"/>
                </w:rPr>
                <w:t>(incorporated by reference to Exhibit 3.1 to the</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40" w:type="dxa"/>
            <w:vAlign w:val="bottom"/>
            <w:tcBorders>
              <w:top w:val="single" w:sz="8" w:color="0000FF"/>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Company’s Current Report on Form 8-K filed on December 3, 2021).</w:t>
              </w:r>
            </w:hyperlink>
          </w:p>
        </w:tc>
        <w:tc>
          <w:tcPr>
            <w:tcW w:w="720" w:type="dxa"/>
            <w:vAlign w:val="bottom"/>
            <w:tcBorders>
              <w:top w:val="single" w:sz="8" w:color="0000FF"/>
            </w:tcBorders>
            <w:gridSpan w:val="4"/>
          </w:tcPr>
          <w:p>
            <w:pPr>
              <w:spacing w:after="0"/>
              <w:rPr>
                <w:sz w:val="17"/>
                <w:szCs w:val="17"/>
                <w:color w:val="auto"/>
              </w:rPr>
            </w:pPr>
          </w:p>
        </w:tc>
        <w:tc>
          <w:tcPr>
            <w:tcW w:w="60" w:type="dxa"/>
            <w:vAlign w:val="bottom"/>
          </w:tcPr>
          <w:p>
            <w:pPr>
              <w:spacing w:after="0"/>
              <w:rPr>
                <w:sz w:val="17"/>
                <w:szCs w:val="17"/>
                <w:color w:val="auto"/>
              </w:rPr>
            </w:pPr>
          </w:p>
        </w:tc>
        <w:tc>
          <w:tcPr>
            <w:tcW w:w="348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9320" w:type="dxa"/>
            <w:vAlign w:val="bottom"/>
            <w:gridSpan w:val="30"/>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Certificate of Change of Registered Agent and/or Registered Office, dated as of March 13, 2023 (incorporated by reference to</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Exhibit 3.1 to the Company's Current Report on Form 8-K filed on March 15, 2023).</w:t>
              </w:r>
            </w:hyperlink>
          </w:p>
        </w:tc>
        <w:tc>
          <w:tcPr>
            <w:tcW w:w="98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c>
          <w:tcPr>
            <w:tcW w:w="214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93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Certificate of Amendment of Second Amended and Restated Certificate of Incorporation of BuzzFeed, Inc. filed on June 1, 2023</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(incorporated by reference to Exhibit 3.3 to the Company’s Quarterly Report on Form 10-Q for the period ended June 30, 2023</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filed on August 9, 2023).</w:t>
              </w:r>
            </w:hyperlink>
          </w:p>
        </w:tc>
        <w:tc>
          <w:tcPr>
            <w:tcW w:w="7500" w:type="dxa"/>
            <w:vAlign w:val="bottom"/>
            <w:gridSpan w:val="27"/>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Second Amendment to the Second Amended and Restated Certificate of Incorporation of BuzzFeed, Inc. filed on April 26, 2024</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(incorporated by reference to Exhibit 3.1 to the Company’s Current Report on Form 8-K filed on May 2, 2024).</w:t>
              </w:r>
            </w:hyperlink>
          </w:p>
        </w:tc>
        <w:tc>
          <w:tcPr>
            <w:tcW w:w="1280" w:type="dxa"/>
            <w:vAlign w:val="bottom"/>
            <w:gridSpan w:val="4"/>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9320" w:type="dxa"/>
            <w:vAlign w:val="bottom"/>
            <w:gridSpan w:val="30"/>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Restated Bylaws of BuzzFeed, Inc. (incorporated by reference to Exhibit 3.2 to the Company’s Current Report on Form 8-K</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filed on December 9, 2021).</w:t>
              </w:r>
            </w:hyperlink>
          </w:p>
        </w:tc>
        <w:tc>
          <w:tcPr>
            <w:tcW w:w="560" w:type="dxa"/>
            <w:vAlign w:val="bottom"/>
            <w:tcBorders>
              <w:top w:val="single" w:sz="8" w:color="0000FF"/>
            </w:tcBorders>
            <w:gridSpan w:val="2"/>
          </w:tcPr>
          <w:p>
            <w:pPr>
              <w:spacing w:after="0"/>
              <w:rPr>
                <w:sz w:val="17"/>
                <w:szCs w:val="17"/>
                <w:color w:val="auto"/>
              </w:rPr>
            </w:pPr>
          </w:p>
        </w:tc>
        <w:tc>
          <w:tcPr>
            <w:tcW w:w="60" w:type="dxa"/>
            <w:vAlign w:val="bottom"/>
          </w:tcPr>
          <w:p>
            <w:pPr>
              <w:spacing w:after="0"/>
              <w:rPr>
                <w:sz w:val="17"/>
                <w:szCs w:val="17"/>
                <w:color w:val="auto"/>
              </w:rPr>
            </w:pPr>
          </w:p>
        </w:tc>
        <w:tc>
          <w:tcPr>
            <w:tcW w:w="664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Specimen Common Stock Certificate (incorporated by reference to Exhibit 4.1 to the Company's Registration Statement on</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0"/>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Form S-4/A filed on October 1, 2021).</w:t>
              </w:r>
            </w:hyperlink>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40" w:type="dxa"/>
            <w:vAlign w:val="bottom"/>
            <w:gridSpan w:val="1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Specimen Warrant Certificate (incorporated by reference to Exhibit 4.3 (included in Exhibit 4.4) to the Company's Registration</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Statement on Form S-1/A filed on January 6, 2021).</w:t>
              </w:r>
            </w:hyperlink>
          </w:p>
        </w:tc>
        <w:tc>
          <w:tcPr>
            <w:tcW w:w="5560" w:type="dxa"/>
            <w:vAlign w:val="bottom"/>
            <w:gridSpan w:val="20"/>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Indenture, dated December 3, 2021, by and between BuzzFeed, Inc. and Wilmington Savings Fund Society, a federal savings</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0"/>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bank, as Trustee (incorporated by reference to Exhibit 4.3 to the Company's Current Report on Form 8-K filed on December 9,</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8">
              <w:r>
                <w:rPr>
                  <w:rFonts w:ascii="Times New Roman" w:cs="Times New Roman" w:eastAsia="Times New Roman" w:hAnsi="Times New Roman"/>
                  <w:sz w:val="18"/>
                  <w:szCs w:val="18"/>
                  <w:color w:val="0000FF"/>
                  <w:w w:val="98"/>
                </w:rPr>
                <w:t>2021.</w:t>
              </w:r>
            </w:hyperlink>
          </w:p>
        </w:tc>
        <w:tc>
          <w:tcPr>
            <w:tcW w:w="10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Global Note (incorporated by reference to Exhibit 4.4 (included in Exhibit 4.3) to the Company's Current Report on</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Form 8-K filed on December 9, 2021).</w:t>
              </w:r>
            </w:hyperlink>
          </w:p>
        </w:tc>
        <w:tc>
          <w:tcPr>
            <w:tcW w:w="6520" w:type="dxa"/>
            <w:vAlign w:val="bottom"/>
            <w:gridSpan w:val="21"/>
          </w:tcPr>
          <w:p>
            <w:pPr>
              <w:spacing w:after="0"/>
              <w:rPr>
                <w:sz w:val="17"/>
                <w:szCs w:val="17"/>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First Supplemental Indenture, dated as of July 10, 2023, to the Indenture, dated December 3, 2021 between BuzzFeed, Inc.,</w:t>
              </w:r>
            </w:hyperlink>
          </w:p>
        </w:tc>
        <w:tc>
          <w:tcPr>
            <w:tcW w:w="20" w:type="dxa"/>
            <w:vAlign w:val="bottom"/>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BuzzFeed Canada, Inc., and Wilmington Savings Fund Society, a Federal Savings Bank, as Trustee (incorporated by reference to</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Exhibit 4.1 to the Company’s Quarterly Report on Form 10-Q for the period ended June 30, 2023 filed on August 9, 2023).</w:t>
              </w:r>
            </w:hyperlink>
          </w:p>
        </w:tc>
        <w:tc>
          <w:tcPr>
            <w:tcW w:w="20" w:type="dxa"/>
            <w:vAlign w:val="bottom"/>
          </w:tcPr>
          <w:p>
            <w:pPr>
              <w:spacing w:after="0"/>
              <w:rPr>
                <w:sz w:val="17"/>
                <w:szCs w:val="17"/>
                <w:color w:val="auto"/>
              </w:rPr>
            </w:pPr>
          </w:p>
        </w:tc>
      </w:tr>
      <w:tr>
        <w:trPr>
          <w:trHeight w:val="938"/>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Borders>
              <w:top w:val="single" w:sz="8" w:color="0000FF"/>
            </w:tcBorders>
            <w:gridSpan w:val="11"/>
          </w:tcPr>
          <w:p>
            <w:pPr>
              <w:ind w:left="3620"/>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4.6</w:t>
            </w:r>
          </w:p>
        </w:tc>
        <w:tc>
          <w:tcPr>
            <w:tcW w:w="9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Second Supplemental Indenture, dated February 28, 2024, to the Indenture dated December 3, 2021 between BuzzFeed, Inc. and</w:t>
              </w:r>
            </w:hyperlink>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Wilmington Savings Fund Society, a Federal Savings Bank, as Trustee (incorporated by reference to Exhibit 4.1 to the</w:t>
              </w:r>
            </w:hyperlink>
          </w:p>
        </w:tc>
      </w:tr>
      <w:tr>
        <w:trPr>
          <w:trHeight w:val="196"/>
        </w:trPr>
        <w:tc>
          <w:tcPr>
            <w:tcW w:w="1600" w:type="dxa"/>
            <w:vAlign w:val="bottom"/>
          </w:tcPr>
          <w:p>
            <w:pPr>
              <w:spacing w:after="0"/>
              <w:rPr>
                <w:sz w:val="17"/>
                <w:szCs w:val="17"/>
                <w:color w:val="auto"/>
              </w:rPr>
            </w:pPr>
          </w:p>
        </w:tc>
        <w:tc>
          <w:tcPr>
            <w:tcW w:w="5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Company’s Current Report on Form 8-K filed on February 29, 2024).</w:t>
              </w:r>
            </w:hyperlink>
          </w:p>
        </w:tc>
        <w:tc>
          <w:tcPr>
            <w:tcW w:w="4280" w:type="dxa"/>
            <w:vAlign w:val="bottom"/>
            <w:gridSpan w:val="3"/>
          </w:tcPr>
          <w:p>
            <w:pPr>
              <w:spacing w:after="0"/>
              <w:rPr>
                <w:sz w:val="17"/>
                <w:szCs w:val="17"/>
                <w:color w:val="auto"/>
              </w:rPr>
            </w:pPr>
          </w:p>
        </w:tc>
      </w:tr>
      <w:tr>
        <w:trPr>
          <w:trHeight w:val="25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4.7</w:t>
            </w:r>
          </w:p>
        </w:tc>
        <w:tc>
          <w:tcPr>
            <w:tcW w:w="9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Third Supplemental Indenture, dated October 28, 2024, to the Indenture dated December 3, 2021 between BuzzFeed, Inc. and</w:t>
              </w:r>
            </w:hyperlink>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Wilmington Savings Fund Society, a Federal Savings Bank, as Trustee (incorporated by reference to Exhibit 4.1 to the</w:t>
              </w:r>
            </w:hyperlink>
          </w:p>
        </w:tc>
      </w:tr>
      <w:tr>
        <w:trPr>
          <w:trHeight w:val="196"/>
        </w:trPr>
        <w:tc>
          <w:tcPr>
            <w:tcW w:w="1600" w:type="dxa"/>
            <w:vAlign w:val="bottom"/>
          </w:tcPr>
          <w:p>
            <w:pPr>
              <w:spacing w:after="0"/>
              <w:rPr>
                <w:sz w:val="17"/>
                <w:szCs w:val="17"/>
                <w:color w:val="auto"/>
              </w:rPr>
            </w:pPr>
          </w:p>
        </w:tc>
        <w:tc>
          <w:tcPr>
            <w:tcW w:w="50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Company’s Current Report on Form 8-K filed on November 1, 2024).</w:t>
              </w:r>
            </w:hyperlink>
          </w:p>
        </w:tc>
        <w:tc>
          <w:tcPr>
            <w:tcW w:w="4260" w:type="dxa"/>
            <w:vAlign w:val="bottom"/>
            <w:gridSpan w:val="2"/>
          </w:tcPr>
          <w:p>
            <w:pPr>
              <w:spacing w:after="0"/>
              <w:rPr>
                <w:sz w:val="17"/>
                <w:szCs w:val="17"/>
                <w:color w:val="auto"/>
              </w:rPr>
            </w:pPr>
          </w:p>
        </w:tc>
      </w:tr>
      <w:tr>
        <w:trPr>
          <w:trHeight w:val="25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4.8</w:t>
            </w:r>
          </w:p>
        </w:tc>
        <w:tc>
          <w:tcPr>
            <w:tcW w:w="9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Fourth Supplemental Indenture, dated December 10, 2024, to the Indenture dated December 3, 2021 between BuzzFeed, Inc.</w:t>
              </w:r>
            </w:hyperlink>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and Wilmington Savings Fund Society, a Federal Savings Bank, as Trustee (incorporated by reference to Exhibit 4.1 to the</w:t>
              </w:r>
            </w:hyperlink>
          </w:p>
        </w:tc>
      </w:tr>
      <w:tr>
        <w:trPr>
          <w:trHeight w:val="196"/>
        </w:trPr>
        <w:tc>
          <w:tcPr>
            <w:tcW w:w="1600" w:type="dxa"/>
            <w:vAlign w:val="bottom"/>
          </w:tcPr>
          <w:p>
            <w:pPr>
              <w:spacing w:after="0"/>
              <w:rPr>
                <w:sz w:val="17"/>
                <w:szCs w:val="17"/>
                <w:color w:val="auto"/>
              </w:rPr>
            </w:pPr>
          </w:p>
        </w:tc>
        <w:tc>
          <w:tcPr>
            <w:tcW w:w="9300" w:type="dxa"/>
            <w:vAlign w:val="bottom"/>
            <w:gridSpan w:val="8"/>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Company’s Current Report on Form 8-K filed on December 12, 2024).</w:t>
              </w:r>
            </w:hyperlink>
          </w:p>
        </w:tc>
      </w:tr>
      <w:tr>
        <w:trPr>
          <w:trHeight w:val="20"/>
        </w:trPr>
        <w:tc>
          <w:tcPr>
            <w:tcW w:w="16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w:t>
            </w:r>
          </w:p>
        </w:tc>
        <w:tc>
          <w:tcPr>
            <w:tcW w:w="9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Stock Option Agreement for Grants to Employees under the 2021 Equity Incentive Plan (effective as of October 28,</w:t>
              </w:r>
            </w:hyperlink>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2024) (incorporated by reference to Exhibit 10.1 to the Company's Quarterly Report on Form 10-Q for the period ending</w:t>
              </w:r>
            </w:hyperlink>
          </w:p>
        </w:tc>
      </w:tr>
      <w:tr>
        <w:trPr>
          <w:trHeight w:val="196"/>
        </w:trPr>
        <w:tc>
          <w:tcPr>
            <w:tcW w:w="1600" w:type="dxa"/>
            <w:vAlign w:val="bottom"/>
          </w:tcPr>
          <w:p>
            <w:pPr>
              <w:spacing w:after="0"/>
              <w:rPr>
                <w:sz w:val="17"/>
                <w:szCs w:val="17"/>
                <w:color w:val="auto"/>
              </w:rPr>
            </w:pPr>
          </w:p>
        </w:tc>
        <w:tc>
          <w:tcPr>
            <w:tcW w:w="3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September 30, 2024 filed on November 12, 2024).</w:t>
              </w:r>
            </w:hyperlink>
          </w:p>
        </w:tc>
        <w:tc>
          <w:tcPr>
            <w:tcW w:w="5660" w:type="dxa"/>
            <w:vAlign w:val="bottom"/>
            <w:gridSpan w:val="6"/>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10.2</w:t>
            </w:r>
          </w:p>
        </w:tc>
        <w:tc>
          <w:tcPr>
            <w:tcW w:w="9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Restricted Stock Unit ("RSU") Agreement for Grants to Employees under the 2021 Equity Incentive Plan (effective as</w:t>
              </w:r>
            </w:hyperlink>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of October 28, 2024) (incorporated by reference to Exhibit 10.2 to the Company's Quarterly Report on Form 10-Q for the period</w:t>
              </w:r>
            </w:hyperlink>
          </w:p>
        </w:tc>
      </w:tr>
      <w:tr>
        <w:trPr>
          <w:trHeight w:val="196"/>
        </w:trPr>
        <w:tc>
          <w:tcPr>
            <w:tcW w:w="1600" w:type="dxa"/>
            <w:vAlign w:val="bottom"/>
          </w:tcPr>
          <w:p>
            <w:pPr>
              <w:spacing w:after="0"/>
              <w:rPr>
                <w:sz w:val="17"/>
                <w:szCs w:val="17"/>
                <w:color w:val="auto"/>
              </w:rPr>
            </w:pPr>
          </w:p>
        </w:tc>
        <w:tc>
          <w:tcPr>
            <w:tcW w:w="41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ending September 30, 2024 filed on November 12, 2024).</w:t>
              </w:r>
            </w:hyperlink>
          </w:p>
        </w:tc>
        <w:tc>
          <w:tcPr>
            <w:tcW w:w="5120" w:type="dxa"/>
            <w:vAlign w:val="bottom"/>
            <w:gridSpan w:val="5"/>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10.3</w:t>
            </w:r>
          </w:p>
        </w:tc>
        <w:tc>
          <w:tcPr>
            <w:tcW w:w="9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RSU Agreement for Grants to Non-Employee Directors under the 2021 Equity Incentive Plan (effective as of October</w:t>
              </w:r>
            </w:hyperlink>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28, 2024) (incorporated by reference to Exhibit 10.3 to the Company's Quarterly Report on Form 10-Q for the period ending</w:t>
              </w:r>
            </w:hyperlink>
          </w:p>
        </w:tc>
      </w:tr>
      <w:tr>
        <w:trPr>
          <w:trHeight w:val="196"/>
        </w:trPr>
        <w:tc>
          <w:tcPr>
            <w:tcW w:w="1600" w:type="dxa"/>
            <w:vAlign w:val="bottom"/>
          </w:tcPr>
          <w:p>
            <w:pPr>
              <w:spacing w:after="0"/>
              <w:rPr>
                <w:sz w:val="17"/>
                <w:szCs w:val="17"/>
                <w:color w:val="auto"/>
              </w:rPr>
            </w:pPr>
          </w:p>
        </w:tc>
        <w:tc>
          <w:tcPr>
            <w:tcW w:w="3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September 30, 2024 filed on November 12, 2024).</w:t>
              </w:r>
            </w:hyperlink>
          </w:p>
        </w:tc>
        <w:tc>
          <w:tcPr>
            <w:tcW w:w="5660" w:type="dxa"/>
            <w:vAlign w:val="bottom"/>
            <w:gridSpan w:val="6"/>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31.1</w:t>
            </w:r>
          </w:p>
        </w:tc>
        <w:tc>
          <w:tcPr>
            <w:tcW w:w="9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15d-14(a) under the Exchange Act, as adopted</w:t>
            </w:r>
          </w:p>
        </w:tc>
      </w:tr>
      <w:tr>
        <w:trPr>
          <w:trHeight w:val="196"/>
        </w:trPr>
        <w:tc>
          <w:tcPr>
            <w:tcW w:w="1600" w:type="dxa"/>
            <w:vAlign w:val="bottom"/>
          </w:tcPr>
          <w:p>
            <w:pPr>
              <w:spacing w:after="0"/>
              <w:rPr>
                <w:sz w:val="17"/>
                <w:szCs w:val="17"/>
                <w:color w:val="auto"/>
              </w:rPr>
            </w:pPr>
          </w:p>
        </w:tc>
        <w:tc>
          <w:tcPr>
            <w:tcW w:w="4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4980" w:type="dxa"/>
            <w:vAlign w:val="bottom"/>
            <w:gridSpan w:val="4"/>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31.2</w:t>
            </w:r>
          </w:p>
        </w:tc>
        <w:tc>
          <w:tcPr>
            <w:tcW w:w="9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15d-14(a) under the Exchange Act, as adopted</w:t>
            </w:r>
          </w:p>
        </w:tc>
      </w:tr>
      <w:tr>
        <w:trPr>
          <w:trHeight w:val="196"/>
        </w:trPr>
        <w:tc>
          <w:tcPr>
            <w:tcW w:w="1600" w:type="dxa"/>
            <w:vAlign w:val="bottom"/>
          </w:tcPr>
          <w:p>
            <w:pPr>
              <w:spacing w:after="0"/>
              <w:rPr>
                <w:sz w:val="17"/>
                <w:szCs w:val="17"/>
                <w:color w:val="auto"/>
              </w:rPr>
            </w:pPr>
          </w:p>
        </w:tc>
        <w:tc>
          <w:tcPr>
            <w:tcW w:w="4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4980" w:type="dxa"/>
            <w:vAlign w:val="bottom"/>
            <w:gridSpan w:val="4"/>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32.1#</w:t>
            </w:r>
          </w:p>
        </w:tc>
        <w:tc>
          <w:tcPr>
            <w:tcW w:w="9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196"/>
        </w:trPr>
        <w:tc>
          <w:tcPr>
            <w:tcW w:w="1600" w:type="dxa"/>
            <w:vAlign w:val="bottom"/>
          </w:tcPr>
          <w:p>
            <w:pPr>
              <w:spacing w:after="0"/>
              <w:rPr>
                <w:sz w:val="17"/>
                <w:szCs w:val="17"/>
                <w:color w:val="auto"/>
              </w:rPr>
            </w:pPr>
          </w:p>
        </w:tc>
        <w:tc>
          <w:tcPr>
            <w:tcW w:w="9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6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0" w:type="dxa"/>
            <w:vAlign w:val="bottom"/>
            <w:gridSpan w:val="7"/>
          </w:tcPr>
          <w:p>
            <w:pPr>
              <w:spacing w:after="0" w:line="20" w:lineRule="exact"/>
              <w:rPr>
                <w:sz w:val="1"/>
                <w:szCs w:val="1"/>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32.2#</w:t>
            </w:r>
          </w:p>
        </w:tc>
        <w:tc>
          <w:tcPr>
            <w:tcW w:w="9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96"/>
        </w:trPr>
        <w:tc>
          <w:tcPr>
            <w:tcW w:w="1600" w:type="dxa"/>
            <w:vAlign w:val="bottom"/>
          </w:tcPr>
          <w:p>
            <w:pPr>
              <w:spacing w:after="0"/>
              <w:rPr>
                <w:sz w:val="17"/>
                <w:szCs w:val="17"/>
                <w:color w:val="auto"/>
              </w:rPr>
            </w:pPr>
          </w:p>
        </w:tc>
        <w:tc>
          <w:tcPr>
            <w:tcW w:w="9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91"/>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101.INS</w:t>
            </w:r>
          </w:p>
        </w:tc>
        <w:tc>
          <w:tcPr>
            <w:tcW w:w="2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200" w:type="dxa"/>
            <w:vAlign w:val="bottom"/>
            <w:gridSpan w:val="7"/>
          </w:tcPr>
          <w:p>
            <w:pPr>
              <w:spacing w:after="0"/>
              <w:rPr>
                <w:sz w:val="24"/>
                <w:szCs w:val="24"/>
                <w:color w:val="auto"/>
              </w:rPr>
            </w:pP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101.SCHXBRL</w:t>
            </w:r>
          </w:p>
        </w:tc>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27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101.CAL XBRL</w:t>
            </w:r>
          </w:p>
        </w:tc>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101.DEF XBRL</w:t>
            </w:r>
          </w:p>
        </w:tc>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27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101.LAB XBRL</w:t>
            </w:r>
          </w:p>
        </w:tc>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101.PRE XBRL</w:t>
            </w:r>
          </w:p>
        </w:tc>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6"/>
              </w:rPr>
              <w:t>104</w:t>
            </w:r>
          </w:p>
        </w:tc>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firstLine="8"/>
        <w:spacing w:after="0" w:line="260" w:lineRule="auto"/>
        <w:tabs>
          <w:tab w:leader="none" w:pos="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Registrant has omitted portions of this Exhibit as permitted under Item 601(b)(1) of Regulation S-K.</w:t>
      </w:r>
    </w:p>
    <w:p>
      <w:pPr>
        <w:spacing w:after="0" w:line="252" w:lineRule="exact"/>
        <w:rPr>
          <w:sz w:val="20"/>
          <w:szCs w:val="20"/>
          <w:color w:val="auto"/>
        </w:rPr>
      </w:pPr>
    </w:p>
    <w:p>
      <w:pPr>
        <w:jc w:val="both"/>
        <w:ind w:firstLine="8"/>
        <w:spacing w:after="0" w:line="266" w:lineRule="auto"/>
        <w:tabs>
          <w:tab w:leader="none" w:pos="1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BuzzFeed, Inc.</w:t>
      </w:r>
    </w:p>
    <w:p>
      <w:pPr>
        <w:spacing w:after="0" w:line="333"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 and Duly Authorized</w:t>
      </w:r>
    </w:p>
    <w:p>
      <w:pPr>
        <w:spacing w:after="0" w:line="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May 8, 2025</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51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certify that:</w:t>
      </w:r>
    </w:p>
    <w:p>
      <w:pPr>
        <w:spacing w:after="0" w:line="18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Jonah Peretti</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Omer, certify that:</w:t>
      </w:r>
    </w:p>
    <w:p>
      <w:pPr>
        <w:spacing w:after="0" w:line="18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2025</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Matt Omer</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Chief Executive Officer of BuzzFeed,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66"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2025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right="200" w:firstLine="332"/>
        <w:spacing w:after="0" w:line="477"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May 8, 2025</w:t>
      </w:r>
    </w:p>
    <w:p>
      <w:pPr>
        <w:spacing w:after="0" w:line="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Jonah Peretti</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Omer, Chief Financial Officer of BuzzFeed,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66" w:lineRule="exact"/>
        <w:rPr>
          <w:sz w:val="20"/>
          <w:szCs w:val="20"/>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2025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right="200" w:firstLine="332"/>
        <w:spacing w:after="0" w:line="485"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May 8, 2025</w:t>
      </w: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26035</wp:posOffset>
            </wp:positionV>
            <wp:extent cx="27343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Matt Omer</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4"/>
    </w:lvl>
  </w:abstractNum>
  <w:abstractNum w:abstractNumId="8">
    <w:nsid w:val="7FDCC233"/>
    <w:multiLevelType w:val="hybridMultilevel"/>
    <w:lvl w:ilvl="0">
      <w:lvlJc w:val="left"/>
      <w:lvlText w:val="%1."/>
      <w:numFmt w:val="decimal"/>
      <w:start w:val="16"/>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65" Type="http://schemas.openxmlformats.org/officeDocument/2006/relationships/hyperlink" Target="https://www.sec.gov/Archives/edgar/data/1828972/000110465921085218/tm2120621d1_ex2-1.htm" TargetMode="External"/><Relationship Id="rId66" Type="http://schemas.openxmlformats.org/officeDocument/2006/relationships/hyperlink" Target="https://www.sec.gov/Archives/edgar/data/1828972/000110465921136139/tm2122219-17_s4a.htm#tANNA1" TargetMode="External"/><Relationship Id="rId67" Type="http://schemas.openxmlformats.org/officeDocument/2006/relationships/hyperlink" Target="https://www.sec.gov/Archives/edgar/data/1828972/000110465921148188/tm2134844d1_ex3-2.htm" TargetMode="External"/><Relationship Id="rId68" Type="http://schemas.openxmlformats.org/officeDocument/2006/relationships/hyperlink" Target="https://www.sec.gov/Archives/edgar/data/1828972/000110465921098380/tm2122219d3_ex2-2.htm" TargetMode="External"/><Relationship Id="rId69" Type="http://schemas.openxmlformats.org/officeDocument/2006/relationships/hyperlink" Target="https://www.sec.gov/Archives/edgar/data/1828972/000110465921098380/tm2122219d3_ex2-3.htm" TargetMode="External"/><Relationship Id="rId70" Type="http://schemas.openxmlformats.org/officeDocument/2006/relationships/hyperlink" Target="https://www.sec.gov/Archives/edgar/data/1828972/000182897224000015/exhibit21-apa.htm" TargetMode="External"/><Relationship Id="rId71" Type="http://schemas.openxmlformats.org/officeDocument/2006/relationships/hyperlink" Target="https://www.sec.gov/Archives/edgar/data/1828972/000182897224000249/exhibit21apa-executionvers.htm" TargetMode="External"/><Relationship Id="rId72" Type="http://schemas.openxmlformats.org/officeDocument/2006/relationships/hyperlink" Target="https://www.sec.gov/Archives/edgar/data/1828972/000110465921148188/tm2134844d1_ex3-1.htm" TargetMode="External"/><Relationship Id="rId73" Type="http://schemas.openxmlformats.org/officeDocument/2006/relationships/hyperlink" Target="https://www.sec.gov/Archives/edgar/data/1828972/000182897223000025/exhibit31delaware-buzzfeed.htm" TargetMode="External"/><Relationship Id="rId74" Type="http://schemas.openxmlformats.org/officeDocument/2006/relationships/hyperlink" Target="https://www.sec.gov/Archives/edgar/data/1828972/000182897223000141/exhibit33.htm" TargetMode="External"/><Relationship Id="rId75" Type="http://schemas.openxmlformats.org/officeDocument/2006/relationships/hyperlink" Target="https://www.sec.gov/Archives/edgar/data/1828972/000182897224000099/ex31certificateofamendment.htm" TargetMode="External"/><Relationship Id="rId76" Type="http://schemas.openxmlformats.org/officeDocument/2006/relationships/hyperlink" Target="https://www.sec.gov/Archives/edgar/data/1828972/000110465921122092/enfa-20211001xex4d1.htm" TargetMode="External"/><Relationship Id="rId77" Type="http://schemas.openxmlformats.org/officeDocument/2006/relationships/hyperlink" Target="https://www.sec.gov/Archives/edgar/data/1828972/000110465921001623/tm2034583d8_ex4-4.htm" TargetMode="External"/><Relationship Id="rId78" Type="http://schemas.openxmlformats.org/officeDocument/2006/relationships/hyperlink" Target="https://www.sec.gov/Archives/edgar/data/1828972/000110465921148188/tm2134844d1_ex4-3.htm" TargetMode="External"/><Relationship Id="rId79" Type="http://schemas.openxmlformats.org/officeDocument/2006/relationships/hyperlink" Target="https://www.sec.gov/Archives/edgar/data/1828972/000182897223000141/buzzfeed-firstsupplemental.htm" TargetMode="External"/><Relationship Id="rId82" Type="http://schemas.openxmlformats.org/officeDocument/2006/relationships/hyperlink" Target="https://www.sec.gov/Archives/edgar/data/1828972/000182897224000019/exhibit41-secondsupplement.htm" TargetMode="External"/><Relationship Id="rId83" Type="http://schemas.openxmlformats.org/officeDocument/2006/relationships/hyperlink" Target="https://www.sec.gov/Archives/edgar/data/1828972/000182897224000212/buzzfeed-thirdsupplemental.htm" TargetMode="External"/><Relationship Id="rId84" Type="http://schemas.openxmlformats.org/officeDocument/2006/relationships/hyperlink" Target="https://www.sec.gov/Archives/edgar/data/1828972/000182897224000249/exhibit41buzzfeed-fourthsu.htm" TargetMode="External"/><Relationship Id="rId85" Type="http://schemas.openxmlformats.org/officeDocument/2006/relationships/hyperlink" Target="https://www.sec.gov/Archives/edgar/data/1828972/000182897224000222/formofstockoptionagreement.htm" TargetMode="External"/><Relationship Id="rId86" Type="http://schemas.openxmlformats.org/officeDocument/2006/relationships/hyperlink" Target="https://www.sec.gov/Archives/edgar/data/1828972/000182897224000222/formofrestrictedstockunitr.htm" TargetMode="External"/><Relationship Id="rId87" Type="http://schemas.openxmlformats.org/officeDocument/2006/relationships/hyperlink" Target="https://www.sec.gov/Archives/edgar/data/1828972/000182897224000222/formofrsuagreementforgra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2025-05-08T16:00:09Z</dcterms:created>
  <dcterms:modified xsi:type="dcterms:W3CDTF">2025-05-08T16:00:09Z</dcterms:modified>
</cp:coreProperties>
</file>