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18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FORM 10-Q</w:t>
      </w:r>
    </w:p>
    <w:p>
      <w:pPr>
        <w:spacing w:after="0" w:line="198" w:lineRule="exact"/>
        <w:rPr>
          <w:sz w:val="24"/>
          <w:szCs w:val="24"/>
          <w:color w:val="auto"/>
        </w:rPr>
      </w:pPr>
    </w:p>
    <w:p>
      <w:pPr>
        <w:ind w:left="10"/>
        <w:spacing w:after="0"/>
        <w:rPr>
          <w:sz w:val="20"/>
          <w:szCs w:val="20"/>
          <w:color w:val="auto"/>
        </w:rPr>
      </w:pPr>
      <w:r>
        <w:rPr>
          <w:rFonts w:ascii="Arial" w:cs="Arial" w:eastAsia="Arial" w:hAnsi="Arial"/>
          <w:sz w:val="16"/>
          <w:szCs w:val="16"/>
          <w:color w:val="auto"/>
        </w:rPr>
        <w:t>(Mark One)</w:t>
      </w:r>
    </w:p>
    <w:p>
      <w:pPr>
        <w:spacing w:after="0" w:line="109" w:lineRule="exact"/>
        <w:rPr>
          <w:sz w:val="24"/>
          <w:szCs w:val="24"/>
          <w:color w:val="auto"/>
        </w:rPr>
      </w:pPr>
    </w:p>
    <w:p>
      <w:pPr>
        <w:ind w:left="3550" w:right="1800" w:hanging="3550"/>
        <w:spacing w:after="0" w:line="258" w:lineRule="auto"/>
        <w:tabs>
          <w:tab w:leader="none" w:pos="191"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2021</w:t>
      </w:r>
    </w:p>
    <w:p>
      <w:pPr>
        <w:spacing w:after="0" w:line="143"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or</w:t>
      </w:r>
    </w:p>
    <w:p>
      <w:pPr>
        <w:spacing w:after="0" w:line="10" w:lineRule="exact"/>
        <w:rPr>
          <w:sz w:val="24"/>
          <w:szCs w:val="24"/>
          <w:color w:val="auto"/>
        </w:rPr>
      </w:pPr>
    </w:p>
    <w:p>
      <w:pPr>
        <w:ind w:left="190" w:hanging="190"/>
        <w:spacing w:after="0"/>
        <w:tabs>
          <w:tab w:leader="none" w:pos="19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 w:lineRule="exact"/>
        <w:rPr>
          <w:sz w:val="24"/>
          <w:szCs w:val="24"/>
          <w:color w:val="auto"/>
        </w:rPr>
      </w:pPr>
    </w:p>
    <w:p>
      <w:pPr>
        <w:ind w:left="3270"/>
        <w:spacing w:after="0"/>
        <w:tabs>
          <w:tab w:leader="none" w:pos="611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3432175</wp:posOffset>
            </wp:positionH>
            <wp:positionV relativeFrom="paragraph">
              <wp:posOffset>-15875</wp:posOffset>
            </wp:positionV>
            <wp:extent cx="9855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143"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6"/>
          <w:szCs w:val="16"/>
          <w:b w:val="1"/>
          <w:bCs w:val="1"/>
          <w:u w:val="single" w:color="auto"/>
          <w:color w:val="auto"/>
        </w:rPr>
        <w:t>001-39877</w:t>
      </w:r>
    </w:p>
    <w:p>
      <w:pPr>
        <w:spacing w:after="0" w:line="180"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890 5th Avenue Partners, Inc.</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(Exact name of registrant as specified in its charter)</w:t>
      </w:r>
    </w:p>
    <w:p>
      <w:pPr>
        <w:spacing w:after="0" w:line="136" w:lineRule="exact"/>
        <w:rPr>
          <w:sz w:val="24"/>
          <w:szCs w:val="24"/>
          <w:color w:val="auto"/>
        </w:rPr>
      </w:pPr>
    </w:p>
    <w:tbl>
      <w:tblPr>
        <w:tblLayout w:type="fixed"/>
        <w:tblInd w:w="570" w:type="dxa"/>
        <w:tblCellMar>
          <w:top w:w="0" w:type="dxa"/>
          <w:left w:w="0" w:type="dxa"/>
          <w:bottom w:w="0" w:type="dxa"/>
          <w:right w:w="0" w:type="dxa"/>
        </w:tblCellMar>
      </w:tblPr>
      <w:tr>
        <w:trPr>
          <w:trHeight w:val="207"/>
        </w:trPr>
        <w:tc>
          <w:tcPr>
            <w:tcW w:w="4840" w:type="dxa"/>
            <w:vAlign w:val="bottom"/>
          </w:tcPr>
          <w:p>
            <w:pPr>
              <w:jc w:val="center"/>
              <w:ind w:right="899"/>
              <w:spacing w:after="0"/>
              <w:rPr>
                <w:sz w:val="20"/>
                <w:szCs w:val="20"/>
                <w:color w:val="auto"/>
              </w:rPr>
            </w:pPr>
            <w:r>
              <w:rPr>
                <w:rFonts w:ascii="Arial" w:cs="Arial" w:eastAsia="Arial" w:hAnsi="Arial"/>
                <w:sz w:val="16"/>
                <w:szCs w:val="16"/>
                <w:b w:val="1"/>
                <w:bCs w:val="1"/>
                <w:color w:val="auto"/>
                <w:w w:val="93"/>
              </w:rPr>
              <w:t>Delaware</w:t>
            </w:r>
          </w:p>
        </w:tc>
        <w:tc>
          <w:tcPr>
            <w:tcW w:w="3640" w:type="dxa"/>
            <w:vAlign w:val="bottom"/>
          </w:tcPr>
          <w:p>
            <w:pPr>
              <w:jc w:val="right"/>
              <w:ind w:right="859"/>
              <w:spacing w:after="0"/>
              <w:rPr>
                <w:sz w:val="20"/>
                <w:szCs w:val="20"/>
                <w:color w:val="auto"/>
              </w:rPr>
            </w:pPr>
            <w:r>
              <w:rPr>
                <w:rFonts w:ascii="Arial" w:cs="Arial" w:eastAsia="Arial" w:hAnsi="Arial"/>
                <w:sz w:val="16"/>
                <w:szCs w:val="16"/>
                <w:b w:val="1"/>
                <w:bCs w:val="1"/>
                <w:color w:val="auto"/>
              </w:rPr>
              <w:t>85-3022075</w:t>
            </w:r>
          </w:p>
        </w:tc>
      </w:tr>
      <w:tr>
        <w:trPr>
          <w:trHeight w:val="206"/>
        </w:trPr>
        <w:tc>
          <w:tcPr>
            <w:tcW w:w="4840" w:type="dxa"/>
            <w:vAlign w:val="bottom"/>
          </w:tcPr>
          <w:p>
            <w:pPr>
              <w:jc w:val="center"/>
              <w:ind w:right="89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3640" w:type="dxa"/>
            <w:vAlign w:val="bottom"/>
          </w:tcPr>
          <w:p>
            <w:pPr>
              <w:jc w:val="center"/>
              <w:ind w:left="899"/>
              <w:spacing w:after="0"/>
              <w:rPr>
                <w:sz w:val="20"/>
                <w:szCs w:val="20"/>
                <w:color w:val="auto"/>
              </w:rPr>
            </w:pPr>
            <w:r>
              <w:rPr>
                <w:rFonts w:ascii="Arial" w:cs="Arial" w:eastAsia="Arial" w:hAnsi="Arial"/>
                <w:sz w:val="16"/>
                <w:szCs w:val="16"/>
                <w:color w:val="auto"/>
                <w:w w:val="95"/>
              </w:rPr>
              <w:t>(I.R.S. Employer Identification Number)</w:t>
            </w:r>
          </w:p>
        </w:tc>
      </w:tr>
      <w:tr>
        <w:trPr>
          <w:trHeight w:val="316"/>
        </w:trPr>
        <w:tc>
          <w:tcPr>
            <w:tcW w:w="4840" w:type="dxa"/>
            <w:vAlign w:val="bottom"/>
          </w:tcPr>
          <w:p>
            <w:pPr>
              <w:ind w:left="1280"/>
              <w:spacing w:after="0"/>
              <w:rPr>
                <w:sz w:val="20"/>
                <w:szCs w:val="20"/>
                <w:color w:val="auto"/>
              </w:rPr>
            </w:pPr>
            <w:r>
              <w:rPr>
                <w:rFonts w:ascii="Arial" w:cs="Arial" w:eastAsia="Arial" w:hAnsi="Arial"/>
                <w:sz w:val="16"/>
                <w:szCs w:val="16"/>
                <w:b w:val="1"/>
                <w:bCs w:val="1"/>
                <w:color w:val="auto"/>
              </w:rPr>
              <w:t>14 Elm Place, Suite 206</w:t>
            </w:r>
          </w:p>
        </w:tc>
        <w:tc>
          <w:tcPr>
            <w:tcW w:w="3640" w:type="dxa"/>
            <w:vAlign w:val="bottom"/>
          </w:tcPr>
          <w:p>
            <w:pPr>
              <w:spacing w:after="0"/>
              <w:rPr>
                <w:sz w:val="24"/>
                <w:szCs w:val="24"/>
                <w:color w:val="auto"/>
              </w:rPr>
            </w:pPr>
          </w:p>
        </w:tc>
      </w:tr>
      <w:tr>
        <w:trPr>
          <w:trHeight w:val="207"/>
        </w:trPr>
        <w:tc>
          <w:tcPr>
            <w:tcW w:w="4840" w:type="dxa"/>
            <w:vAlign w:val="bottom"/>
          </w:tcPr>
          <w:p>
            <w:pPr>
              <w:jc w:val="center"/>
              <w:ind w:right="899"/>
              <w:spacing w:after="0"/>
              <w:rPr>
                <w:sz w:val="20"/>
                <w:szCs w:val="20"/>
                <w:color w:val="auto"/>
              </w:rPr>
            </w:pPr>
            <w:r>
              <w:rPr>
                <w:rFonts w:ascii="Arial" w:cs="Arial" w:eastAsia="Arial" w:hAnsi="Arial"/>
                <w:sz w:val="16"/>
                <w:szCs w:val="16"/>
                <w:b w:val="1"/>
                <w:bCs w:val="1"/>
                <w:color w:val="auto"/>
                <w:w w:val="95"/>
              </w:rPr>
              <w:t>Rye, NY</w:t>
            </w:r>
          </w:p>
        </w:tc>
        <w:tc>
          <w:tcPr>
            <w:tcW w:w="3640" w:type="dxa"/>
            <w:vAlign w:val="bottom"/>
          </w:tcPr>
          <w:p>
            <w:pPr>
              <w:jc w:val="right"/>
              <w:ind w:right="1039"/>
              <w:spacing w:after="0"/>
              <w:rPr>
                <w:sz w:val="20"/>
                <w:szCs w:val="20"/>
                <w:color w:val="auto"/>
              </w:rPr>
            </w:pPr>
            <w:r>
              <w:rPr>
                <w:rFonts w:ascii="Arial" w:cs="Arial" w:eastAsia="Arial" w:hAnsi="Arial"/>
                <w:sz w:val="16"/>
                <w:szCs w:val="16"/>
                <w:b w:val="1"/>
                <w:bCs w:val="1"/>
                <w:color w:val="auto"/>
              </w:rPr>
              <w:t>10580</w:t>
            </w:r>
          </w:p>
        </w:tc>
      </w:tr>
      <w:tr>
        <w:trPr>
          <w:trHeight w:val="206"/>
        </w:trPr>
        <w:tc>
          <w:tcPr>
            <w:tcW w:w="4840" w:type="dxa"/>
            <w:vAlign w:val="bottom"/>
          </w:tcPr>
          <w:p>
            <w:pPr>
              <w:jc w:val="center"/>
              <w:ind w:right="899"/>
              <w:spacing w:after="0"/>
              <w:rPr>
                <w:sz w:val="20"/>
                <w:szCs w:val="20"/>
                <w:color w:val="auto"/>
              </w:rPr>
            </w:pPr>
            <w:r>
              <w:rPr>
                <w:rFonts w:ascii="Arial" w:cs="Arial" w:eastAsia="Arial" w:hAnsi="Arial"/>
                <w:sz w:val="16"/>
                <w:szCs w:val="16"/>
                <w:color w:val="auto"/>
                <w:w w:val="94"/>
              </w:rPr>
              <w:t>(Address of principal executive offices)</w:t>
            </w:r>
          </w:p>
        </w:tc>
        <w:tc>
          <w:tcPr>
            <w:tcW w:w="3640" w:type="dxa"/>
            <w:vAlign w:val="bottom"/>
          </w:tcPr>
          <w:p>
            <w:pPr>
              <w:jc w:val="center"/>
              <w:ind w:left="899"/>
              <w:spacing w:after="0"/>
              <w:rPr>
                <w:sz w:val="20"/>
                <w:szCs w:val="20"/>
                <w:color w:val="auto"/>
              </w:rPr>
            </w:pPr>
            <w:r>
              <w:rPr>
                <w:rFonts w:ascii="Arial" w:cs="Arial" w:eastAsia="Arial" w:hAnsi="Arial"/>
                <w:sz w:val="16"/>
                <w:szCs w:val="16"/>
                <w:color w:val="auto"/>
                <w:w w:val="92"/>
              </w:rPr>
              <w:t>(Zip Code)</w:t>
            </w:r>
          </w:p>
        </w:tc>
      </w:tr>
    </w:tbl>
    <w:p>
      <w:pPr>
        <w:spacing w:after="0" w:line="10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(575) 914-6575</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(Registrant’s telephone number, including area code)</w:t>
      </w:r>
    </w:p>
    <w:p>
      <w:pPr>
        <w:spacing w:after="0" w:line="11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ind w:left="245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96"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3" w:lineRule="exact"/>
        <w:rPr>
          <w:sz w:val="24"/>
          <w:szCs w:val="24"/>
          <w:color w:val="auto"/>
        </w:rPr>
      </w:pPr>
    </w:p>
    <w:tbl>
      <w:tblPr>
        <w:tblLayout w:type="fixed"/>
        <w:tblInd w:w="10" w:type="dxa"/>
        <w:tblCellMar>
          <w:top w:w="0" w:type="dxa"/>
          <w:left w:w="0" w:type="dxa"/>
          <w:bottom w:w="0" w:type="dxa"/>
          <w:right w:w="0" w:type="dxa"/>
        </w:tblCellMar>
      </w:tblPr>
      <w:tr>
        <w:trPr>
          <w:trHeight w:val="213"/>
        </w:trPr>
        <w:tc>
          <w:tcPr>
            <w:tcW w:w="4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Title of Each Class:</w:t>
            </w:r>
          </w:p>
        </w:tc>
        <w:tc>
          <w:tcPr>
            <w:tcW w:w="2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Trading Symbol(s)</w:t>
            </w:r>
          </w:p>
        </w:tc>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185"/>
        </w:trPr>
        <w:tc>
          <w:tcPr>
            <w:tcW w:w="4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Shares of Class A Common Stock, par value $0.0001 per</w:t>
            </w:r>
          </w:p>
        </w:tc>
        <w:tc>
          <w:tcPr>
            <w:tcW w:w="2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ENFA</w:t>
            </w:r>
          </w:p>
        </w:tc>
        <w:tc>
          <w:tcPr>
            <w:tcW w:w="16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The Nasdaq Stock Market LLC</w:t>
            </w:r>
          </w:p>
        </w:tc>
      </w:tr>
      <w:tr>
        <w:trPr>
          <w:trHeight w:val="216"/>
        </w:trPr>
        <w:tc>
          <w:tcPr>
            <w:tcW w:w="43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88"/>
              </w:rPr>
              <w:t>share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r>
      <w:tr>
        <w:trPr>
          <w:trHeight w:val="189"/>
        </w:trPr>
        <w:tc>
          <w:tcPr>
            <w:tcW w:w="4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Redeemable Warrants, each whole warrant exercisable for</w:t>
            </w:r>
          </w:p>
        </w:tc>
        <w:tc>
          <w:tcPr>
            <w:tcW w:w="2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ENFAW</w:t>
            </w:r>
          </w:p>
        </w:tc>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Stock Market LLC</w:t>
            </w:r>
          </w:p>
        </w:tc>
      </w:tr>
      <w:tr>
        <w:trPr>
          <w:trHeight w:val="213"/>
        </w:trPr>
        <w:tc>
          <w:tcPr>
            <w:tcW w:w="4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one share of Class A Common Stock for $11.50 per share</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192"/>
        </w:trPr>
        <w:tc>
          <w:tcPr>
            <w:tcW w:w="43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88"/>
              </w:rPr>
              <w:t>Units, each consisting of one share of Class A Common</w:t>
            </w:r>
          </w:p>
        </w:tc>
        <w:tc>
          <w:tcPr>
            <w:tcW w:w="21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b w:val="1"/>
                <w:bCs w:val="1"/>
                <w:color w:val="auto"/>
              </w:rPr>
              <w:t>ENFAU</w:t>
            </w:r>
          </w:p>
        </w:tc>
        <w:tc>
          <w:tcPr>
            <w:tcW w:w="37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The Nasdaq Stock Market LLC</w:t>
            </w:r>
          </w:p>
        </w:tc>
      </w:tr>
      <w:tr>
        <w:trPr>
          <w:trHeight w:val="216"/>
        </w:trPr>
        <w:tc>
          <w:tcPr>
            <w:tcW w:w="43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b w:val="1"/>
                <w:bCs w:val="1"/>
                <w:color w:val="auto"/>
                <w:w w:val="91"/>
              </w:rPr>
              <w:t>Stock and one-third of one Redeemable Warrant</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r>
    </w:tbl>
    <w:p>
      <w:pPr>
        <w:spacing w:after="0" w:line="85"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74"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74"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3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40" w:type="dxa"/>
            <w:vAlign w:val="bottom"/>
          </w:tcPr>
          <w:p>
            <w:pPr>
              <w:ind w:left="144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300" w:type="dxa"/>
            <w:vAlign w:val="bottom"/>
          </w:tcPr>
          <w:p>
            <w:pPr>
              <w:ind w:left="400"/>
              <w:spacing w:after="0"/>
              <w:rPr>
                <w:sz w:val="20"/>
                <w:szCs w:val="20"/>
                <w:color w:val="auto"/>
              </w:rPr>
            </w:pPr>
            <w:r>
              <w:rPr>
                <w:rFonts w:ascii="Arial" w:cs="Arial" w:eastAsia="Arial" w:hAnsi="Arial"/>
                <w:sz w:val="16"/>
                <w:szCs w:val="16"/>
                <w:color w:val="auto"/>
              </w:rPr>
              <w:t>Accelerated filer</w:t>
            </w:r>
          </w:p>
        </w:tc>
        <w:tc>
          <w:tcPr>
            <w:tcW w:w="1280" w:type="dxa"/>
            <w:vAlign w:val="bottom"/>
          </w:tcPr>
          <w:p>
            <w:pPr>
              <w:ind w:left="114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03"/>
        </w:trPr>
        <w:tc>
          <w:tcPr>
            <w:tcW w:w="3180" w:type="dxa"/>
            <w:vAlign w:val="bottom"/>
          </w:tcPr>
          <w:p>
            <w:pPr>
              <w:spacing w:after="0"/>
              <w:rPr>
                <w:sz w:val="20"/>
                <w:szCs w:val="20"/>
                <w:color w:val="auto"/>
              </w:rPr>
            </w:pPr>
            <w:r>
              <w:rPr>
                <w:rFonts w:ascii="Arial" w:cs="Arial" w:eastAsia="Arial" w:hAnsi="Arial"/>
                <w:sz w:val="16"/>
                <w:szCs w:val="16"/>
                <w:color w:val="auto"/>
              </w:rPr>
              <w:t>Non-accelerated filer</w:t>
            </w:r>
          </w:p>
        </w:tc>
        <w:tc>
          <w:tcPr>
            <w:tcW w:w="2040" w:type="dxa"/>
            <w:vAlign w:val="bottom"/>
          </w:tcPr>
          <w:p>
            <w:pPr>
              <w:ind w:left="1440"/>
              <w:spacing w:after="0" w:line="202" w:lineRule="exact"/>
              <w:rPr>
                <w:sz w:val="20"/>
                <w:szCs w:val="20"/>
                <w:color w:val="auto"/>
              </w:rPr>
            </w:pPr>
            <w:r>
              <w:rPr>
                <w:rFonts w:ascii="Arial Unicode MS" w:cs="Arial Unicode MS" w:eastAsia="Arial Unicode MS" w:hAnsi="Arial Unicode MS"/>
                <w:sz w:val="16"/>
                <w:szCs w:val="16"/>
                <w:color w:val="auto"/>
              </w:rPr>
              <w:t>⌧</w:t>
            </w:r>
          </w:p>
        </w:tc>
        <w:tc>
          <w:tcPr>
            <w:tcW w:w="3300" w:type="dxa"/>
            <w:vAlign w:val="bottom"/>
          </w:tcPr>
          <w:p>
            <w:pPr>
              <w:ind w:left="400"/>
              <w:spacing w:after="0"/>
              <w:rPr>
                <w:sz w:val="20"/>
                <w:szCs w:val="20"/>
                <w:color w:val="auto"/>
              </w:rPr>
            </w:pPr>
            <w:r>
              <w:rPr>
                <w:rFonts w:ascii="Arial" w:cs="Arial" w:eastAsia="Arial" w:hAnsi="Arial"/>
                <w:sz w:val="16"/>
                <w:szCs w:val="16"/>
                <w:color w:val="auto"/>
              </w:rPr>
              <w:t>Smaller reporting company</w:t>
            </w:r>
          </w:p>
        </w:tc>
        <w:tc>
          <w:tcPr>
            <w:tcW w:w="1280" w:type="dxa"/>
            <w:vAlign w:val="bottom"/>
          </w:tcPr>
          <w:p>
            <w:pPr>
              <w:ind w:left="1140"/>
              <w:spacing w:after="0" w:line="202" w:lineRule="exact"/>
              <w:rPr>
                <w:sz w:val="20"/>
                <w:szCs w:val="20"/>
                <w:color w:val="auto"/>
              </w:rPr>
            </w:pPr>
            <w:r>
              <w:rPr>
                <w:rFonts w:ascii="Arial Unicode MS" w:cs="Arial Unicode MS" w:eastAsia="Arial Unicode MS" w:hAnsi="Arial Unicode MS"/>
                <w:sz w:val="16"/>
                <w:szCs w:val="16"/>
                <w:color w:val="auto"/>
              </w:rPr>
              <w:t>☒</w:t>
            </w:r>
          </w:p>
        </w:tc>
      </w:tr>
      <w:tr>
        <w:trPr>
          <w:trHeight w:val="254"/>
        </w:trPr>
        <w:tc>
          <w:tcPr>
            <w:tcW w:w="31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040" w:type="dxa"/>
            <w:vAlign w:val="bottom"/>
          </w:tcPr>
          <w:p>
            <w:pPr>
              <w:ind w:left="144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300" w:type="dxa"/>
            <w:vAlign w:val="bottom"/>
          </w:tcPr>
          <w:p>
            <w:pPr>
              <w:spacing w:after="0"/>
              <w:rPr>
                <w:sz w:val="22"/>
                <w:szCs w:val="22"/>
                <w:color w:val="auto"/>
              </w:rPr>
            </w:pPr>
          </w:p>
        </w:tc>
        <w:tc>
          <w:tcPr>
            <w:tcW w:w="1280" w:type="dxa"/>
            <w:vAlign w:val="bottom"/>
          </w:tcPr>
          <w:p>
            <w:pPr>
              <w:spacing w:after="0"/>
              <w:rPr>
                <w:sz w:val="22"/>
                <w:szCs w:val="22"/>
                <w:color w:val="auto"/>
              </w:rPr>
            </w:pPr>
          </w:p>
        </w:tc>
      </w:tr>
    </w:tbl>
    <w:p>
      <w:pPr>
        <w:spacing w:after="0" w:line="73" w:lineRule="exact"/>
        <w:rPr>
          <w:sz w:val="24"/>
          <w:szCs w:val="24"/>
          <w:color w:val="auto"/>
        </w:rPr>
      </w:pPr>
    </w:p>
    <w:p>
      <w:pPr>
        <w:ind w:left="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43" w:lineRule="exact"/>
        <w:rPr>
          <w:sz w:val="24"/>
          <w:szCs w:val="24"/>
          <w:color w:val="auto"/>
        </w:rPr>
      </w:pPr>
    </w:p>
    <w:p>
      <w:pPr>
        <w:ind w:left="10"/>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13" w:lineRule="exact"/>
        <w:rPr>
          <w:sz w:val="24"/>
          <w:szCs w:val="24"/>
          <w:color w:val="auto"/>
        </w:rPr>
      </w:pPr>
    </w:p>
    <w:p>
      <w:pPr>
        <w:ind w:left="10" w:firstLine="324"/>
        <w:spacing w:after="0" w:line="293" w:lineRule="auto"/>
        <w:rPr>
          <w:sz w:val="20"/>
          <w:szCs w:val="20"/>
          <w:color w:val="auto"/>
        </w:rPr>
      </w:pPr>
      <w:r>
        <w:rPr>
          <w:rFonts w:ascii="Arial" w:cs="Arial" w:eastAsia="Arial" w:hAnsi="Arial"/>
          <w:sz w:val="16"/>
          <w:szCs w:val="16"/>
          <w:color w:val="auto"/>
        </w:rPr>
        <w:t>As of August 13, 2021, 29,527,500 shares of Class A common stock, par value $0.0001 per share, and 7,187,500 shares of Class F common stock, par value $0.0001 per share, were issued and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458470</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29845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72390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40" w:type="dxa"/>
            <w:vAlign w:val="bottom"/>
            <w:gridSpan w:val="24"/>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40" w:type="dxa"/>
            <w:vAlign w:val="bottom"/>
            <w:gridSpan w:val="24"/>
            <w:vMerge w:val="continue"/>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8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20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6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2021 (Unaudited) and December 31, 2020</w:t>
              </w:r>
            </w:hyperlink>
          </w:p>
        </w:tc>
        <w:tc>
          <w:tcPr>
            <w:tcW w:w="140" w:type="dxa"/>
            <w:vAlign w:val="bottom"/>
            <w:gridSpan w:val="2"/>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for the Three and Six Months Ended</w:t>
              </w:r>
            </w:hyperlink>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June 30, 2021</w:t>
              </w:r>
            </w:hyperlink>
          </w:p>
        </w:tc>
        <w:tc>
          <w:tcPr>
            <w:tcW w:w="6180" w:type="dxa"/>
            <w:vAlign w:val="bottom"/>
            <w:gridSpan w:val="16"/>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0" w:type="dxa"/>
            <w:vAlign w:val="bottom"/>
            <w:gridSpan w:val="21"/>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Consolidated Statements of Changes in Stockholders’ Equity for the Three</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Six Months Ended June 30, 2021</w:t>
              </w:r>
            </w:hyperlink>
          </w:p>
        </w:tc>
        <w:tc>
          <w:tcPr>
            <w:tcW w:w="180" w:type="dxa"/>
            <w:vAlign w:val="bottom"/>
            <w:gridSpan w:val="3"/>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0" w:type="dxa"/>
            <w:vAlign w:val="bottom"/>
            <w:gridSpan w:val="21"/>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 of Cash Flows for the Six Months Ended June 30,</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2021</w:t>
              </w:r>
            </w:hyperlink>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2400" w:type="dxa"/>
            <w:vAlign w:val="bottom"/>
            <w:gridSpan w:val="7"/>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rFonts w:ascii="Arial" w:cs="Arial" w:eastAsia="Arial" w:hAnsi="Arial"/>
                <w:sz w:val="18"/>
                <w:szCs w:val="18"/>
                <w:color w:val="0000EE"/>
                <w:w w:val="76"/>
              </w:rPr>
            </w:pPr>
            <w:hyperlink w:anchor="page24">
              <w:r>
                <w:rPr>
                  <w:rFonts w:ascii="Arial" w:cs="Arial" w:eastAsia="Arial" w:hAnsi="Arial"/>
                  <w:sz w:val="18"/>
                  <w:szCs w:val="18"/>
                  <w:color w:val="0000EE"/>
                  <w:w w:val="76"/>
                </w:rPr>
                <w:t>Item 2.</w:t>
              </w:r>
            </w:hyperlink>
          </w:p>
        </w:tc>
        <w:tc>
          <w:tcPr>
            <w:tcW w:w="380" w:type="dxa"/>
            <w:vAlign w:val="bottom"/>
            <w:gridSpan w:val="2"/>
          </w:tcPr>
          <w:p>
            <w:pPr>
              <w:spacing w:after="0"/>
              <w:rPr>
                <w:sz w:val="24"/>
                <w:szCs w:val="24"/>
                <w:color w:val="auto"/>
              </w:rPr>
            </w:pPr>
          </w:p>
        </w:tc>
        <w:tc>
          <w:tcPr>
            <w:tcW w:w="720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rFonts w:ascii="Arial" w:cs="Arial" w:eastAsia="Arial" w:hAnsi="Arial"/>
                <w:sz w:val="18"/>
                <w:szCs w:val="18"/>
                <w:color w:val="0000EE"/>
                <w:w w:val="76"/>
              </w:rPr>
            </w:pPr>
            <w:hyperlink w:anchor="page30">
              <w:r>
                <w:rPr>
                  <w:rFonts w:ascii="Arial" w:cs="Arial" w:eastAsia="Arial" w:hAnsi="Arial"/>
                  <w:sz w:val="18"/>
                  <w:szCs w:val="18"/>
                  <w:color w:val="0000EE"/>
                  <w:w w:val="76"/>
                </w:rPr>
                <w:t>Item 3.</w:t>
              </w:r>
            </w:hyperlink>
          </w:p>
        </w:tc>
        <w:tc>
          <w:tcPr>
            <w:tcW w:w="380" w:type="dxa"/>
            <w:vAlign w:val="bottom"/>
            <w:gridSpan w:val="2"/>
          </w:tcPr>
          <w:p>
            <w:pPr>
              <w:spacing w:after="0"/>
              <w:rPr>
                <w:sz w:val="24"/>
                <w:szCs w:val="24"/>
                <w:color w:val="auto"/>
              </w:rPr>
            </w:pPr>
          </w:p>
        </w:tc>
        <w:tc>
          <w:tcPr>
            <w:tcW w:w="720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rFonts w:ascii="Arial" w:cs="Arial" w:eastAsia="Arial" w:hAnsi="Arial"/>
                <w:sz w:val="18"/>
                <w:szCs w:val="18"/>
                <w:color w:val="0000EE"/>
                <w:w w:val="76"/>
              </w:rPr>
            </w:pPr>
            <w:hyperlink w:anchor="page30">
              <w:r>
                <w:rPr>
                  <w:rFonts w:ascii="Arial" w:cs="Arial" w:eastAsia="Arial" w:hAnsi="Arial"/>
                  <w:sz w:val="18"/>
                  <w:szCs w:val="18"/>
                  <w:color w:val="0000EE"/>
                  <w:w w:val="76"/>
                </w:rPr>
                <w:t>Item 4.</w:t>
              </w:r>
            </w:hyperlink>
          </w:p>
        </w:tc>
        <w:tc>
          <w:tcPr>
            <w:tcW w:w="380" w:type="dxa"/>
            <w:vAlign w:val="bottom"/>
            <w:gridSpan w:val="2"/>
          </w:tcPr>
          <w:p>
            <w:pPr>
              <w:spacing w:after="0"/>
              <w:rPr>
                <w:sz w:val="24"/>
                <w:szCs w:val="24"/>
                <w:color w:val="auto"/>
              </w:rPr>
            </w:pPr>
          </w:p>
        </w:tc>
        <w:tc>
          <w:tcPr>
            <w:tcW w:w="720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040" w:type="dxa"/>
            <w:vAlign w:val="bottom"/>
            <w:gridSpan w:val="24"/>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 OTHER INFORMATION</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40" w:type="dxa"/>
            <w:vAlign w:val="bottom"/>
            <w:tcBorders>
              <w:top w:val="single" w:sz="8" w:color="0000EE"/>
            </w:tcBorders>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w:t>
              </w:r>
            </w:hyperlink>
          </w:p>
        </w:tc>
        <w:tc>
          <w:tcPr>
            <w:tcW w:w="1960" w:type="dxa"/>
            <w:vAlign w:val="bottom"/>
            <w:tcBorders>
              <w:top w:val="single" w:sz="8" w:color="0000EE"/>
            </w:tcBorders>
            <w:gridSpan w:val="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5240" w:type="dxa"/>
            <w:vAlign w:val="bottom"/>
            <w:gridSpan w:val="13"/>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Item 1A</w:t>
              </w:r>
            </w:hyperlink>
          </w:p>
        </w:tc>
        <w:tc>
          <w:tcPr>
            <w:tcW w:w="240" w:type="dxa"/>
            <w:vAlign w:val="bottom"/>
          </w:tcPr>
          <w:p>
            <w:pPr>
              <w:spacing w:after="0"/>
              <w:rPr>
                <w:sz w:val="24"/>
                <w:szCs w:val="24"/>
                <w:color w:val="auto"/>
              </w:rPr>
            </w:pPr>
          </w:p>
        </w:tc>
        <w:tc>
          <w:tcPr>
            <w:tcW w:w="720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240" w:type="dxa"/>
            <w:vAlign w:val="bottom"/>
          </w:tcPr>
          <w:p>
            <w:pPr>
              <w:spacing w:after="0"/>
              <w:rPr>
                <w:sz w:val="24"/>
                <w:szCs w:val="24"/>
                <w:color w:val="auto"/>
              </w:rPr>
            </w:pPr>
          </w:p>
        </w:tc>
        <w:tc>
          <w:tcPr>
            <w:tcW w:w="720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 from Registered Securities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4000" w:type="dxa"/>
            <w:vAlign w:val="bottom"/>
            <w:gridSpan w:val="5"/>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rFonts w:ascii="Arial" w:cs="Arial" w:eastAsia="Arial" w:hAnsi="Arial"/>
                <w:sz w:val="18"/>
                <w:szCs w:val="18"/>
                <w:color w:val="0000EE"/>
                <w:w w:val="83"/>
              </w:rPr>
            </w:pPr>
            <w:hyperlink w:anchor="page33">
              <w:r>
                <w:rPr>
                  <w:rFonts w:ascii="Arial" w:cs="Arial" w:eastAsia="Arial" w:hAnsi="Arial"/>
                  <w:sz w:val="18"/>
                  <w:szCs w:val="18"/>
                  <w:color w:val="0000EE"/>
                  <w:w w:val="83"/>
                </w:rPr>
                <w:t>Item 3</w:t>
              </w:r>
            </w:hyperlink>
          </w:p>
        </w:tc>
        <w:tc>
          <w:tcPr>
            <w:tcW w:w="380" w:type="dxa"/>
            <w:vAlign w:val="bottom"/>
            <w:gridSpan w:val="2"/>
          </w:tcPr>
          <w:p>
            <w:pPr>
              <w:spacing w:after="0"/>
              <w:rPr>
                <w:sz w:val="24"/>
                <w:szCs w:val="24"/>
                <w:color w:val="auto"/>
              </w:rPr>
            </w:pPr>
          </w:p>
        </w:tc>
        <w:tc>
          <w:tcPr>
            <w:tcW w:w="720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4880" w:type="dxa"/>
            <w:vAlign w:val="bottom"/>
            <w:gridSpan w:val="1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4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720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20" w:type="dxa"/>
            <w:vAlign w:val="bottom"/>
            <w:gridSpan w:val="1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4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5</w:t>
              </w:r>
            </w:hyperlink>
          </w:p>
        </w:tc>
        <w:tc>
          <w:tcPr>
            <w:tcW w:w="720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880" w:type="dxa"/>
            <w:vAlign w:val="bottom"/>
            <w:gridSpan w:val="1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4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w:t>
              </w:r>
            </w:hyperlink>
          </w:p>
        </w:tc>
        <w:tc>
          <w:tcPr>
            <w:tcW w:w="720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243"/>
        </w:trPr>
        <w:tc>
          <w:tcPr>
            <w:tcW w:w="20" w:type="dxa"/>
            <w:vAlign w:val="bottom"/>
            <w:tcBorders>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8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498,421</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683,855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1,182,276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287,507,970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associated with the initial public offering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338,798</w:t>
            </w:r>
          </w:p>
        </w:tc>
        <w:tc>
          <w:tcPr>
            <w:tcW w:w="0" w:type="dxa"/>
            <w:vAlign w:val="bottom"/>
          </w:tcPr>
          <w:p>
            <w:pPr>
              <w:spacing w:after="0"/>
              <w:rPr>
                <w:sz w:val="1"/>
                <w:szCs w:val="1"/>
                <w:color w:val="auto"/>
              </w:rPr>
            </w:pPr>
          </w:p>
        </w:tc>
      </w:tr>
      <w:tr>
        <w:trPr>
          <w:trHeight w:val="249"/>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288,690,246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547,394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1,062,446</w:t>
            </w:r>
          </w:p>
        </w:tc>
        <w:tc>
          <w:tcPr>
            <w:tcW w:w="220" w:type="dxa"/>
            <w:vAlign w:val="bottom"/>
          </w:tcPr>
          <w:p>
            <w:pPr>
              <w:spacing w:after="0"/>
              <w:rPr>
                <w:sz w:val="18"/>
                <w:szCs w:val="18"/>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Franchise tax payable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99,178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Advances from related party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Note payable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1,734,624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 liabilities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12,324,034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14,058,658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Class A common stock, $0.0001 par value; 26,963,158 and 0 shares subject to</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3"/>
              </w:rPr>
              <w:t>possible redemption at $10.00 per share as of June 30, 2021 and December 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2020, respectively</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269,631,580</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spacing w:after="0" w:line="201" w:lineRule="exact"/>
              <w:rPr>
                <w:sz w:val="20"/>
                <w:szCs w:val="20"/>
                <w:color w:val="auto"/>
              </w:rPr>
            </w:pPr>
            <w:r>
              <w:rPr>
                <w:rFonts w:ascii="Arial" w:cs="Arial" w:eastAsia="Arial" w:hAnsi="Arial"/>
                <w:sz w:val="18"/>
                <w:szCs w:val="18"/>
                <w:color w:val="auto"/>
                <w:w w:val="90"/>
              </w:rPr>
              <w:t>Preferred stock, $0.0001 par value; 5,000,000 shares authorized; none issued and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outstanding as of June 30, 2021 and December 31, 2020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Class A common stock, $0.0001 par value; 500,000,000 shares authorized;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1"/>
              </w:rPr>
              <w:t>2,564,342 shares issued and outstanding (excluding 26,963,158 shares subject to</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possible redemption) as of June 30, 2021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spacing w:after="0" w:line="201" w:lineRule="exact"/>
              <w:rPr>
                <w:sz w:val="20"/>
                <w:szCs w:val="20"/>
                <w:color w:val="auto"/>
              </w:rPr>
            </w:pPr>
            <w:r>
              <w:rPr>
                <w:rFonts w:ascii="Arial" w:cs="Arial" w:eastAsia="Arial" w:hAnsi="Arial"/>
                <w:sz w:val="18"/>
                <w:szCs w:val="18"/>
                <w:color w:val="auto"/>
              </w:rPr>
              <w:t>Class F common stock, $0.0001 par value; 25,000,000 shares authorized;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w w:val="92"/>
              </w:rPr>
              <w:t>7,187,500 shares issued and outstanding as of June 30, 2021 and December 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2020, respectively (1)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8,270,788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(3,271,755)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13,694</w:t>
            </w:r>
          </w:p>
        </w:tc>
        <w:tc>
          <w:tcPr>
            <w:tcW w:w="0" w:type="dxa"/>
            <w:vAlign w:val="bottom"/>
          </w:tcPr>
          <w:p>
            <w:pPr>
              <w:spacing w:after="0"/>
              <w:rPr>
                <w:sz w:val="1"/>
                <w:szCs w:val="1"/>
                <w:color w:val="auto"/>
              </w:rPr>
            </w:pP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288,690,246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right="79" w:hanging="330"/>
        <w:spacing w:after="0" w:line="26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As of December 31, 2020, includes up to 937,500 shares of Class F common stock subject to forfeiture if the over-allotment option was not exercised in full or in part by the underwriters. On January 14, 2021, the over-allotment option was exercised in full. Thus, none of these shares were forfeited.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627,933</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1,901,116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Administrative fee - related party</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Franchise tax expense</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(737,796)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(3,568,017)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(916,559)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Offering costs associated with issuance of public and private</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Unrealized gain from investments held in Trust Account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(4,301,444)</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Weighted average shares outstanding of Class A common stock</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27,388,576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27,332,731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subject to possible redemption, basic and diluted</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Basic and diluted net income per share, Class A common stock</w:t>
            </w: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vMerge w:val="restart"/>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subject to possible redemption</w:t>
            </w:r>
          </w:p>
        </w:tc>
        <w:tc>
          <w:tcPr>
            <w:tcW w:w="420" w:type="dxa"/>
            <w:vAlign w:val="bottom"/>
            <w:gridSpan w:val="2"/>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9"/>
              </w:rPr>
              <w:t>Weighted average shares outstanding of non-redeemable common</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9,326,424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9,157,299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stock, basic and diluted</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Basic and diluted net loss per share, non-redeemable common</w:t>
            </w: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00" w:type="dxa"/>
            <w:vAlign w:val="bottom"/>
            <w:gridSpan w:val="2"/>
            <w:vMerge w:val="restart"/>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stock</w:t>
            </w:r>
          </w:p>
        </w:tc>
        <w:tc>
          <w:tcPr>
            <w:tcW w:w="420" w:type="dxa"/>
            <w:vAlign w:val="bottom"/>
            <w:gridSpan w:val="2"/>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CHANGES IN STOCKHOLDERS’ EQUITY</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w w:val="89"/>
              </w:rPr>
              <w:t>Common Stock</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2100" w:type="dxa"/>
            <w:vAlign w:val="bottom"/>
          </w:tcPr>
          <w:p>
            <w:pPr>
              <w:spacing w:after="0"/>
              <w:rPr>
                <w:sz w:val="12"/>
                <w:szCs w:val="12"/>
                <w:color w:val="auto"/>
              </w:rPr>
            </w:pPr>
          </w:p>
        </w:tc>
        <w:tc>
          <w:tcPr>
            <w:tcW w:w="1120" w:type="dxa"/>
            <w:vAlign w:val="bottom"/>
            <w:tcBorders>
              <w:bottom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Class A</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bottom w:val="single" w:sz="8" w:color="auto"/>
            </w:tcBorders>
            <w:gridSpan w:val="3"/>
          </w:tcPr>
          <w:p>
            <w:pPr>
              <w:ind w:left="460"/>
              <w:spacing w:after="0" w:line="142" w:lineRule="exact"/>
              <w:rPr>
                <w:sz w:val="20"/>
                <w:szCs w:val="20"/>
                <w:color w:val="auto"/>
              </w:rPr>
            </w:pPr>
            <w:r>
              <w:rPr>
                <w:rFonts w:ascii="Arial" w:cs="Arial" w:eastAsia="Arial" w:hAnsi="Arial"/>
                <w:sz w:val="14"/>
                <w:szCs w:val="14"/>
                <w:b w:val="1"/>
                <w:bCs w:val="1"/>
                <w:color w:val="auto"/>
              </w:rPr>
              <w:t>Class F</w:t>
            </w:r>
          </w:p>
        </w:tc>
        <w:tc>
          <w:tcPr>
            <w:tcW w:w="360" w:type="dxa"/>
            <w:vAlign w:val="bottom"/>
            <w:tcBorders>
              <w:bottom w:val="single" w:sz="8" w:color="auto"/>
            </w:tcBorders>
          </w:tcPr>
          <w:p>
            <w:pPr>
              <w:spacing w:after="0"/>
              <w:rPr>
                <w:sz w:val="12"/>
                <w:szCs w:val="12"/>
                <w:color w:val="auto"/>
              </w:rPr>
            </w:pPr>
          </w:p>
        </w:tc>
        <w:tc>
          <w:tcPr>
            <w:tcW w:w="132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w w:val="95"/>
              </w:rPr>
              <w:t>Additional Paid-In</w:t>
            </w:r>
          </w:p>
        </w:tc>
        <w:tc>
          <w:tcPr>
            <w:tcW w:w="140" w:type="dxa"/>
            <w:vAlign w:val="bottom"/>
          </w:tcPr>
          <w:p>
            <w:pPr>
              <w:spacing w:after="0"/>
              <w:rPr>
                <w:sz w:val="12"/>
                <w:szCs w:val="12"/>
                <w:color w:val="auto"/>
              </w:rPr>
            </w:pPr>
          </w:p>
        </w:tc>
        <w:tc>
          <w:tcPr>
            <w:tcW w:w="106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980" w:type="dxa"/>
            <w:vAlign w:val="bottom"/>
          </w:tcPr>
          <w:p>
            <w:pPr>
              <w:jc w:val="center"/>
              <w:ind w:right="21"/>
              <w:spacing w:after="0" w:line="14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100" w:type="dxa"/>
            <w:vAlign w:val="bottom"/>
          </w:tcPr>
          <w:p>
            <w:pPr>
              <w:spacing w:after="0"/>
              <w:rPr>
                <w:sz w:val="12"/>
                <w:szCs w:val="12"/>
                <w:color w:val="auto"/>
              </w:rPr>
            </w:pPr>
          </w:p>
        </w:tc>
        <w:tc>
          <w:tcPr>
            <w:tcW w:w="880" w:type="dxa"/>
            <w:vAlign w:val="bottom"/>
          </w:tcPr>
          <w:p>
            <w:pPr>
              <w:jc w:val="right"/>
              <w:ind w:right="161"/>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7"/>
              </w:rPr>
              <w:t>Shares (1)</w:t>
            </w:r>
          </w:p>
        </w:tc>
        <w:tc>
          <w:tcPr>
            <w:tcW w:w="66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8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2"/>
                <w:szCs w:val="12"/>
                <w:color w:val="auto"/>
              </w:rPr>
            </w:pPr>
          </w:p>
        </w:tc>
        <w:tc>
          <w:tcPr>
            <w:tcW w:w="980" w:type="dxa"/>
            <w:vAlign w:val="bottom"/>
          </w:tcPr>
          <w:p>
            <w:pPr>
              <w:jc w:val="center"/>
              <w:ind w:right="41"/>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21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 December 31,</w:t>
            </w:r>
          </w:p>
        </w:tc>
        <w:tc>
          <w:tcPr>
            <w:tcW w:w="8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2020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7,187,500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719</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24,281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13,694</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20"/>
                <w:szCs w:val="20"/>
                <w:color w:val="auto"/>
              </w:rPr>
            </w:pPr>
            <w:r>
              <w:rPr>
                <w:rFonts w:ascii="Arial" w:cs="Arial" w:eastAsia="Arial" w:hAnsi="Arial"/>
                <w:sz w:val="16"/>
                <w:szCs w:val="16"/>
                <w:color w:val="auto"/>
              </w:rPr>
              <w:t>Sale of units in initial public</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20"/>
                <w:szCs w:val="20"/>
                <w:color w:val="auto"/>
              </w:rPr>
            </w:pPr>
            <w:r>
              <w:rPr>
                <w:rFonts w:ascii="Arial" w:cs="Arial" w:eastAsia="Arial" w:hAnsi="Arial"/>
                <w:sz w:val="16"/>
                <w:szCs w:val="16"/>
                <w:color w:val="auto"/>
              </w:rPr>
              <w:t>offering, less derivative</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00" w:type="dxa"/>
            <w:vAlign w:val="bottom"/>
          </w:tcPr>
          <w:p>
            <w:pPr>
              <w:spacing w:after="0"/>
              <w:rPr>
                <w:sz w:val="20"/>
                <w:szCs w:val="20"/>
                <w:color w:val="auto"/>
              </w:rPr>
            </w:pPr>
            <w:r>
              <w:rPr>
                <w:rFonts w:ascii="Arial" w:cs="Arial" w:eastAsia="Arial" w:hAnsi="Arial"/>
                <w:sz w:val="16"/>
                <w:szCs w:val="16"/>
                <w:color w:val="auto"/>
              </w:rPr>
              <w:t>liabilities for public warrants</w:t>
            </w:r>
          </w:p>
        </w:tc>
        <w:tc>
          <w:tcPr>
            <w:tcW w:w="880" w:type="dxa"/>
            <w:vAlign w:val="bottom"/>
          </w:tcPr>
          <w:p>
            <w:pPr>
              <w:jc w:val="right"/>
              <w:spacing w:after="0"/>
              <w:rPr>
                <w:sz w:val="20"/>
                <w:szCs w:val="20"/>
                <w:color w:val="auto"/>
              </w:rPr>
            </w:pPr>
            <w:r>
              <w:rPr>
                <w:rFonts w:ascii="Arial" w:cs="Arial" w:eastAsia="Arial" w:hAnsi="Arial"/>
                <w:sz w:val="16"/>
                <w:szCs w:val="16"/>
                <w:color w:val="auto"/>
                <w:w w:val="99"/>
              </w:rPr>
              <w:t>28,750,000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2,875</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276,380,459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276,383,334</w:t>
            </w:r>
          </w:p>
        </w:tc>
        <w:tc>
          <w:tcPr>
            <w:tcW w:w="0" w:type="dxa"/>
            <w:vAlign w:val="bottom"/>
          </w:tcPr>
          <w:p>
            <w:pPr>
              <w:spacing w:after="0"/>
              <w:rPr>
                <w:sz w:val="1"/>
                <w:szCs w:val="1"/>
                <w:color w:val="auto"/>
              </w:rPr>
            </w:pPr>
          </w:p>
        </w:tc>
      </w:tr>
      <w:tr>
        <w:trPr>
          <w:trHeight w:val="208"/>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Offering costs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(5,989,182)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(5,989,182)</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20"/>
                <w:szCs w:val="20"/>
                <w:color w:val="auto"/>
              </w:rPr>
            </w:pPr>
            <w:r>
              <w:rPr>
                <w:rFonts w:ascii="Arial" w:cs="Arial" w:eastAsia="Arial" w:hAnsi="Arial"/>
                <w:sz w:val="16"/>
                <w:szCs w:val="16"/>
                <w:color w:val="auto"/>
              </w:rPr>
              <w:t>Sale of units in private</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20"/>
                <w:szCs w:val="20"/>
                <w:color w:val="auto"/>
              </w:rPr>
            </w:pPr>
            <w:r>
              <w:rPr>
                <w:rFonts w:ascii="Arial" w:cs="Arial" w:eastAsia="Arial" w:hAnsi="Arial"/>
                <w:sz w:val="16"/>
                <w:szCs w:val="16"/>
                <w:color w:val="auto"/>
              </w:rPr>
              <w:t>placement, less derivative</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20"/>
                <w:szCs w:val="20"/>
                <w:color w:val="auto"/>
              </w:rPr>
            </w:pPr>
            <w:r>
              <w:rPr>
                <w:rFonts w:ascii="Arial" w:cs="Arial" w:eastAsia="Arial" w:hAnsi="Arial"/>
                <w:sz w:val="16"/>
                <w:szCs w:val="16"/>
                <w:color w:val="auto"/>
              </w:rPr>
              <w:t>liabilities for private</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00" w:type="dxa"/>
            <w:vAlign w:val="bottom"/>
          </w:tcPr>
          <w:p>
            <w:pPr>
              <w:spacing w:after="0"/>
              <w:rPr>
                <w:sz w:val="20"/>
                <w:szCs w:val="20"/>
                <w:color w:val="auto"/>
              </w:rPr>
            </w:pPr>
            <w:r>
              <w:rPr>
                <w:rFonts w:ascii="Arial" w:cs="Arial" w:eastAsia="Arial" w:hAnsi="Arial"/>
                <w:sz w:val="16"/>
                <w:szCs w:val="16"/>
                <w:color w:val="auto"/>
              </w:rPr>
              <w:t>placement warrants</w:t>
            </w:r>
          </w:p>
        </w:tc>
        <w:tc>
          <w:tcPr>
            <w:tcW w:w="880" w:type="dxa"/>
            <w:vAlign w:val="bottom"/>
          </w:tcPr>
          <w:p>
            <w:pPr>
              <w:jc w:val="right"/>
              <w:spacing w:after="0"/>
              <w:rPr>
                <w:sz w:val="20"/>
                <w:szCs w:val="20"/>
                <w:color w:val="auto"/>
              </w:rPr>
            </w:pPr>
            <w:r>
              <w:rPr>
                <w:rFonts w:ascii="Arial" w:cs="Arial" w:eastAsia="Arial" w:hAnsi="Arial"/>
                <w:sz w:val="16"/>
                <w:szCs w:val="16"/>
                <w:color w:val="auto"/>
              </w:rPr>
              <w:t>777,500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77</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7,484,114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7,484,191</w:t>
            </w:r>
          </w:p>
        </w:tc>
        <w:tc>
          <w:tcPr>
            <w:tcW w:w="0" w:type="dxa"/>
            <w:vAlign w:val="bottom"/>
          </w:tcPr>
          <w:p>
            <w:pPr>
              <w:spacing w:after="0"/>
              <w:rPr>
                <w:sz w:val="1"/>
                <w:szCs w:val="1"/>
                <w:color w:val="auto"/>
              </w:rPr>
            </w:pPr>
          </w:p>
        </w:tc>
      </w:tr>
      <w:tr>
        <w:trPr>
          <w:trHeight w:val="199"/>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Class A common stock</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subject to possible</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redemption</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(27,393,303)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(2,739)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(273,930,291)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(273,933,030)</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20"/>
                <w:szCs w:val="20"/>
                <w:color w:val="auto"/>
              </w:rPr>
            </w:pPr>
            <w:r>
              <w:rPr>
                <w:rFonts w:ascii="Arial" w:cs="Arial" w:eastAsia="Arial" w:hAnsi="Arial"/>
                <w:sz w:val="16"/>
                <w:szCs w:val="16"/>
                <w:color w:val="auto"/>
              </w:rPr>
              <w:t>Net income</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1,040,995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1,040,995</w:t>
            </w:r>
          </w:p>
        </w:tc>
        <w:tc>
          <w:tcPr>
            <w:tcW w:w="0" w:type="dxa"/>
            <w:vAlign w:val="bottom"/>
          </w:tcPr>
          <w:p>
            <w:pPr>
              <w:spacing w:after="0"/>
              <w:rPr>
                <w:sz w:val="1"/>
                <w:szCs w:val="1"/>
                <w:color w:val="auto"/>
              </w:rPr>
            </w:pPr>
          </w:p>
        </w:tc>
      </w:tr>
      <w:tr>
        <w:trPr>
          <w:trHeight w:val="169"/>
        </w:trPr>
        <w:tc>
          <w:tcPr>
            <w:tcW w:w="21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 March 31, 2021</w:t>
            </w:r>
          </w:p>
        </w:tc>
        <w:tc>
          <w:tcPr>
            <w:tcW w:w="8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(unaudited)</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2,134,197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7,187,500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3,969,381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1,029,689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5,000,002</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20"/>
                <w:szCs w:val="20"/>
                <w:color w:val="auto"/>
              </w:rPr>
            </w:pPr>
            <w:r>
              <w:rPr>
                <w:rFonts w:ascii="Arial" w:cs="Arial" w:eastAsia="Arial" w:hAnsi="Arial"/>
                <w:sz w:val="16"/>
                <w:szCs w:val="16"/>
                <w:color w:val="auto"/>
              </w:rPr>
              <w:t>Class A common stock</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20"/>
                <w:szCs w:val="20"/>
                <w:color w:val="auto"/>
              </w:rPr>
            </w:pPr>
            <w:r>
              <w:rPr>
                <w:rFonts w:ascii="Arial" w:cs="Arial" w:eastAsia="Arial" w:hAnsi="Arial"/>
                <w:sz w:val="16"/>
                <w:szCs w:val="16"/>
                <w:color w:val="auto"/>
              </w:rPr>
              <w:t>subject to possible</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00" w:type="dxa"/>
            <w:vAlign w:val="bottom"/>
          </w:tcPr>
          <w:p>
            <w:pPr>
              <w:spacing w:after="0"/>
              <w:rPr>
                <w:sz w:val="20"/>
                <w:szCs w:val="20"/>
                <w:color w:val="auto"/>
              </w:rPr>
            </w:pPr>
            <w:r>
              <w:rPr>
                <w:rFonts w:ascii="Arial" w:cs="Arial" w:eastAsia="Arial" w:hAnsi="Arial"/>
                <w:sz w:val="16"/>
                <w:szCs w:val="16"/>
                <w:color w:val="auto"/>
              </w:rPr>
              <w:t>redemption</w:t>
            </w:r>
          </w:p>
        </w:tc>
        <w:tc>
          <w:tcPr>
            <w:tcW w:w="880" w:type="dxa"/>
            <w:vAlign w:val="bottom"/>
          </w:tcPr>
          <w:p>
            <w:pPr>
              <w:jc w:val="right"/>
              <w:spacing w:after="0"/>
              <w:rPr>
                <w:sz w:val="20"/>
                <w:szCs w:val="20"/>
                <w:color w:val="auto"/>
              </w:rPr>
            </w:pPr>
            <w:r>
              <w:rPr>
                <w:rFonts w:ascii="Arial" w:cs="Arial" w:eastAsia="Arial" w:hAnsi="Arial"/>
                <w:sz w:val="16"/>
                <w:szCs w:val="16"/>
                <w:color w:val="auto"/>
              </w:rPr>
              <w:t>430,145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4,301,407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4,301,450</w:t>
            </w:r>
          </w:p>
        </w:tc>
        <w:tc>
          <w:tcPr>
            <w:tcW w:w="0" w:type="dxa"/>
            <w:vAlign w:val="bottom"/>
          </w:tcPr>
          <w:p>
            <w:pPr>
              <w:spacing w:after="0"/>
              <w:rPr>
                <w:sz w:val="1"/>
                <w:szCs w:val="1"/>
                <w:color w:val="auto"/>
              </w:rPr>
            </w:pPr>
          </w:p>
        </w:tc>
      </w:tr>
      <w:tr>
        <w:trPr>
          <w:trHeight w:val="209"/>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(4,301,444)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(4,301,444)</w:t>
            </w:r>
          </w:p>
        </w:tc>
        <w:tc>
          <w:tcPr>
            <w:tcW w:w="0" w:type="dxa"/>
            <w:vAlign w:val="bottom"/>
          </w:tcPr>
          <w:p>
            <w:pPr>
              <w:spacing w:after="0"/>
              <w:rPr>
                <w:sz w:val="1"/>
                <w:szCs w:val="1"/>
                <w:color w:val="auto"/>
              </w:rPr>
            </w:pPr>
          </w:p>
        </w:tc>
      </w:tr>
      <w:tr>
        <w:trPr>
          <w:trHeight w:val="169"/>
        </w:trPr>
        <w:tc>
          <w:tcPr>
            <w:tcW w:w="2100" w:type="dxa"/>
            <w:vAlign w:val="bottom"/>
          </w:tcPr>
          <w:p>
            <w:pPr>
              <w:spacing w:after="0" w:line="169" w:lineRule="exact"/>
              <w:rPr>
                <w:sz w:val="20"/>
                <w:szCs w:val="20"/>
                <w:color w:val="auto"/>
              </w:rPr>
            </w:pPr>
            <w:r>
              <w:rPr>
                <w:rFonts w:ascii="Arial" w:cs="Arial" w:eastAsia="Arial" w:hAnsi="Arial"/>
                <w:sz w:val="16"/>
                <w:szCs w:val="16"/>
                <w:b w:val="1"/>
                <w:bCs w:val="1"/>
                <w:color w:val="auto"/>
              </w:rPr>
              <w:t>Balance — June 30, 2021</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2,564,342</w:t>
            </w: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256</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7,187,500</w:t>
            </w:r>
          </w:p>
        </w:tc>
        <w:tc>
          <w:tcPr>
            <w:tcW w:w="3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719</w:t>
            </w:r>
          </w:p>
        </w:tc>
        <w:tc>
          <w:tcPr>
            <w:tcW w:w="3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8,270,788</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(3,271,755)</w:t>
            </w:r>
          </w:p>
        </w:tc>
        <w:tc>
          <w:tcPr>
            <w:tcW w:w="14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5,000,008</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20"/>
                <w:szCs w:val="20"/>
                <w:color w:val="auto"/>
              </w:rPr>
            </w:pPr>
            <w:r>
              <w:rPr>
                <w:rFonts w:ascii="Arial" w:cs="Arial" w:eastAsia="Arial" w:hAnsi="Arial"/>
                <w:sz w:val="16"/>
                <w:szCs w:val="16"/>
                <w:b w:val="1"/>
                <w:bCs w:val="1"/>
                <w:color w:val="auto"/>
              </w:rPr>
              <w:t>(unaudited)</w:t>
            </w:r>
          </w:p>
        </w:tc>
        <w:tc>
          <w:tcPr>
            <w:tcW w:w="88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right="79" w:hanging="330"/>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As of December 31, 2020, includes up to 937,500 shares of Class F common stock subject to forfeiture if the over-allotment option was not exercised in full or in part by the underwriters. On January 14, 2021, the over-allotment option was exercised in full. Thus, none of these shares were forfeited.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CONDENSED CONSOLIDATED STATEMENT OF CASH FLOWS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64896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Adjustments to reconcile net loss to net cash used in operating activities: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Unrealized gain from investments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7"/>
          <w:szCs w:val="17"/>
          <w:color w:val="auto"/>
        </w:rPr>
        <w:t>Offering costs associated with issuance of public and private warrants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 in fair value of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Franchise tax payable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deposited in Trust Account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Proceeds received from initial public offering, gross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Advances from related party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Repayment of advances from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Repayment of note payable to related party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Payment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-119380</wp:posOffset>
            </wp:positionV>
            <wp:extent cx="56489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-119380</wp:posOffset>
            </wp:positionV>
            <wp:extent cx="56489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564896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56489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Offering costs included in accrued expenses</w:t>
      </w:r>
    </w:p>
    <w:p>
      <w:pPr>
        <w:spacing w:after="0" w:line="9" w:lineRule="exact"/>
        <w:rPr>
          <w:sz w:val="20"/>
          <w:szCs w:val="20"/>
          <w:color w:val="auto"/>
        </w:rPr>
      </w:pPr>
    </w:p>
    <w:p>
      <w:pPr>
        <w:ind w:left="160" w:right="957"/>
        <w:spacing w:after="0" w:line="323" w:lineRule="auto"/>
        <w:rPr>
          <w:sz w:val="20"/>
          <w:szCs w:val="20"/>
          <w:color w:val="auto"/>
        </w:rPr>
      </w:pPr>
      <w:r>
        <w:rPr>
          <w:rFonts w:ascii="Arial" w:cs="Arial" w:eastAsia="Arial" w:hAnsi="Arial"/>
          <w:sz w:val="16"/>
          <w:szCs w:val="16"/>
          <w:color w:val="auto"/>
        </w:rPr>
        <w:t>Initial value of Class A common stock subject to possible redemption Change in value of Class A common stock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-176530</wp:posOffset>
            </wp:positionV>
            <wp:extent cx="56489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ind w:right="56"/>
        <w:spacing w:after="0"/>
        <w:rPr>
          <w:sz w:val="20"/>
          <w:szCs w:val="20"/>
          <w:color w:val="auto"/>
        </w:rPr>
      </w:pPr>
      <w:r>
        <w:rPr>
          <w:rFonts w:ascii="Arial" w:cs="Arial" w:eastAsia="Arial" w:hAnsi="Arial"/>
          <w:sz w:val="14"/>
          <w:szCs w:val="14"/>
          <w:b w:val="1"/>
          <w:bCs w:val="1"/>
          <w:color w:val="auto"/>
        </w:rPr>
        <w:t>For the Six Months Ended</w:t>
      </w:r>
    </w:p>
    <w:p>
      <w:pPr>
        <w:spacing w:after="0" w:line="4" w:lineRule="exact"/>
        <w:rPr>
          <w:sz w:val="20"/>
          <w:szCs w:val="20"/>
          <w:color w:val="auto"/>
        </w:rPr>
      </w:pPr>
    </w:p>
    <w:p>
      <w:pPr>
        <w:jc w:val="center"/>
        <w:ind w:right="56"/>
        <w:spacing w:after="0"/>
        <w:rPr>
          <w:sz w:val="20"/>
          <w:szCs w:val="20"/>
          <w:color w:val="auto"/>
        </w:rPr>
      </w:pPr>
      <w:r>
        <w:rPr>
          <w:rFonts w:ascii="Arial" w:cs="Arial" w:eastAsia="Arial" w:hAnsi="Arial"/>
          <w:sz w:val="14"/>
          <w:szCs w:val="14"/>
          <w:b w:val="1"/>
          <w:bCs w:val="1"/>
          <w:color w:val="auto"/>
        </w:rPr>
        <w:t>June 30, 2021</w:t>
      </w:r>
    </w:p>
    <w:p>
      <w:pPr>
        <w:spacing w:after="0" w:line="209" w:lineRule="exact"/>
        <w:rPr>
          <w:sz w:val="20"/>
          <w:szCs w:val="20"/>
          <w:color w:val="auto"/>
        </w:rPr>
      </w:pPr>
    </w:p>
    <w:p>
      <w:pPr>
        <w:ind w:left="963" w:hanging="963"/>
        <w:spacing w:after="0"/>
        <w:tabs>
          <w:tab w:leader="none" w:pos="963" w:val="left"/>
        </w:tabs>
        <w:numPr>
          <w:ilvl w:val="0"/>
          <w:numId w:val="5"/>
        </w:numPr>
        <w:rPr>
          <w:rFonts w:ascii="Arial" w:cs="Arial" w:eastAsia="Arial" w:hAnsi="Arial"/>
          <w:sz w:val="16"/>
          <w:szCs w:val="16"/>
          <w:color w:val="auto"/>
        </w:rPr>
      </w:pPr>
      <w:r>
        <w:rPr>
          <w:rFonts w:ascii="Arial" w:cs="Arial" w:eastAsia="Arial" w:hAnsi="Arial"/>
          <w:sz w:val="16"/>
          <w:szCs w:val="16"/>
          <w:color w:val="auto"/>
        </w:rPr>
        <w:t>(3,260,449)</w:t>
      </w:r>
    </w:p>
    <w:p>
      <w:pPr>
        <w:spacing w:after="0" w:line="24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(7,970)</w:t>
      </w:r>
    </w:p>
    <w:p>
      <w:pPr>
        <w:spacing w:after="0" w:line="23"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231,566</w:t>
      </w:r>
    </w:p>
    <w:p>
      <w:pPr>
        <w:spacing w:after="0" w:line="21"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916,559</w:t>
      </w:r>
    </w:p>
    <w:p>
      <w:pPr>
        <w:spacing w:after="0" w:line="22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(677,040)</w:t>
      </w:r>
    </w:p>
    <w:p>
      <w:pPr>
        <w:spacing w:after="0" w:line="23"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942,177</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423,269</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98,728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1398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963"/>
        <w:spacing w:after="0"/>
        <w:rPr>
          <w:sz w:val="20"/>
          <w:szCs w:val="20"/>
          <w:color w:val="auto"/>
        </w:rPr>
      </w:pPr>
      <w:r>
        <w:rPr>
          <w:rFonts w:ascii="Arial" w:cs="Arial" w:eastAsia="Arial" w:hAnsi="Arial"/>
          <w:sz w:val="16"/>
          <w:szCs w:val="16"/>
          <w:color w:val="auto"/>
        </w:rPr>
        <w:t>(1,333,160)</w:t>
      </w:r>
    </w:p>
    <w:p>
      <w:pPr>
        <w:spacing w:after="0" w:line="200" w:lineRule="exact"/>
        <w:rPr>
          <w:sz w:val="20"/>
          <w:szCs w:val="20"/>
          <w:color w:val="auto"/>
        </w:rPr>
      </w:pPr>
    </w:p>
    <w:p>
      <w:pPr>
        <w:spacing w:after="0" w:line="277" w:lineRule="exact"/>
        <w:rPr>
          <w:sz w:val="20"/>
          <w:szCs w:val="20"/>
          <w:color w:val="auto"/>
        </w:rPr>
      </w:pPr>
    </w:p>
    <w:p>
      <w:pPr>
        <w:ind w:left="783"/>
        <w:spacing w:after="0"/>
        <w:rPr>
          <w:sz w:val="20"/>
          <w:szCs w:val="20"/>
          <w:color w:val="auto"/>
        </w:rPr>
      </w:pPr>
      <w:r>
        <w:rPr>
          <w:rFonts w:ascii="Arial" w:cs="Arial" w:eastAsia="Arial" w:hAnsi="Arial"/>
          <w:sz w:val="16"/>
          <w:szCs w:val="16"/>
          <w:color w:val="auto"/>
        </w:rPr>
        <w:t>(287,500,000)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11398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6" w:lineRule="exact"/>
        <w:rPr>
          <w:sz w:val="20"/>
          <w:szCs w:val="20"/>
          <w:color w:val="auto"/>
        </w:rPr>
      </w:pPr>
    </w:p>
    <w:p>
      <w:pPr>
        <w:ind w:left="783"/>
        <w:spacing w:after="0"/>
        <w:rPr>
          <w:sz w:val="20"/>
          <w:szCs w:val="20"/>
          <w:color w:val="auto"/>
        </w:rPr>
      </w:pPr>
      <w:r>
        <w:rPr>
          <w:rFonts w:ascii="Arial" w:cs="Arial" w:eastAsia="Arial" w:hAnsi="Arial"/>
          <w:sz w:val="16"/>
          <w:szCs w:val="16"/>
          <w:color w:val="auto"/>
        </w:rPr>
        <w:t>(287,500,000)</w:t>
      </w:r>
    </w:p>
    <w:p>
      <w:pPr>
        <w:spacing w:after="0" w:line="200" w:lineRule="exact"/>
        <w:rPr>
          <w:sz w:val="20"/>
          <w:szCs w:val="20"/>
          <w:color w:val="auto"/>
        </w:rPr>
      </w:pPr>
    </w:p>
    <w:p>
      <w:pPr>
        <w:spacing w:after="0" w:line="277"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287,500,000</w:t>
      </w:r>
    </w:p>
    <w:p>
      <w:pPr>
        <w:spacing w:after="0" w:line="23"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7,775,000</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20,125</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(33,175)</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(300,000)</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(5,832,150)</w:t>
      </w:r>
    </w:p>
    <w:p>
      <w:pPr>
        <w:spacing w:after="0" w:line="9" w:lineRule="exact"/>
        <w:rPr>
          <w:sz w:val="20"/>
          <w:szCs w:val="20"/>
          <w:color w:val="auto"/>
        </w:rPr>
      </w:pPr>
    </w:p>
    <w:p>
      <w:pPr>
        <w:ind w:left="843"/>
        <w:spacing w:after="0"/>
        <w:rPr>
          <w:sz w:val="20"/>
          <w:szCs w:val="20"/>
          <w:color w:val="auto"/>
        </w:rPr>
      </w:pPr>
      <w:r>
        <w:rPr>
          <w:rFonts w:ascii="Arial" w:cs="Arial" w:eastAsia="Arial" w:hAnsi="Arial"/>
          <w:sz w:val="17"/>
          <w:szCs w:val="17"/>
          <w:color w:val="auto"/>
        </w:rPr>
        <w:t>289,129,800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11398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229"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296,640</w:t>
      </w:r>
    </w:p>
    <w:p>
      <w:pPr>
        <w:spacing w:after="0" w:line="237"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201,781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11398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5" w:lineRule="exact"/>
        <w:rPr>
          <w:sz w:val="20"/>
          <w:szCs w:val="20"/>
          <w:color w:val="auto"/>
        </w:rPr>
      </w:pPr>
    </w:p>
    <w:p>
      <w:pPr>
        <w:ind w:left="1163" w:hanging="1163"/>
        <w:spacing w:after="0"/>
        <w:tabs>
          <w:tab w:leader="none" w:pos="1163"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498,421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11398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43" w:hanging="1243"/>
        <w:spacing w:after="0"/>
        <w:tabs>
          <w:tab w:leader="none" w:pos="1243" w:val="left"/>
        </w:tabs>
        <w:numPr>
          <w:ilvl w:val="0"/>
          <w:numId w:val="7"/>
        </w:numPr>
        <w:rPr>
          <w:rFonts w:ascii="Arial" w:cs="Arial" w:eastAsia="Arial" w:hAnsi="Arial"/>
          <w:sz w:val="18"/>
          <w:szCs w:val="18"/>
          <w:color w:val="auto"/>
        </w:rPr>
      </w:pPr>
      <w:r>
        <w:rPr>
          <w:rFonts w:ascii="Arial" w:cs="Arial" w:eastAsia="Arial" w:hAnsi="Arial"/>
          <w:sz w:val="18"/>
          <w:szCs w:val="18"/>
          <w:color w:val="auto"/>
        </w:rPr>
        <w:t>70,000</w:t>
      </w:r>
    </w:p>
    <w:p>
      <w:pPr>
        <w:spacing w:after="0" w:line="23" w:lineRule="exact"/>
        <w:rPr>
          <w:sz w:val="20"/>
          <w:szCs w:val="20"/>
          <w:color w:val="auto"/>
        </w:rPr>
      </w:pPr>
    </w:p>
    <w:p>
      <w:pPr>
        <w:ind w:left="843" w:hanging="843"/>
        <w:spacing w:after="0"/>
        <w:tabs>
          <w:tab w:leader="none" w:pos="843" w:val="left"/>
        </w:tabs>
        <w:numPr>
          <w:ilvl w:val="0"/>
          <w:numId w:val="8"/>
        </w:numPr>
        <w:rPr>
          <w:rFonts w:ascii="Arial" w:cs="Arial" w:eastAsia="Arial" w:hAnsi="Arial"/>
          <w:sz w:val="17"/>
          <w:szCs w:val="17"/>
          <w:color w:val="auto"/>
        </w:rPr>
      </w:pPr>
      <w:r>
        <w:rPr>
          <w:rFonts w:ascii="Arial" w:cs="Arial" w:eastAsia="Arial" w:hAnsi="Arial"/>
          <w:sz w:val="17"/>
          <w:szCs w:val="17"/>
          <w:color w:val="auto"/>
        </w:rPr>
        <w:t>272,650,670</w:t>
      </w:r>
    </w:p>
    <w:p>
      <w:pPr>
        <w:spacing w:after="0" w:line="20" w:lineRule="exact"/>
        <w:rPr>
          <w:rFonts w:ascii="Arial" w:cs="Arial" w:eastAsia="Arial" w:hAnsi="Arial"/>
          <w:sz w:val="17"/>
          <w:szCs w:val="17"/>
          <w:color w:val="auto"/>
        </w:rPr>
      </w:pPr>
    </w:p>
    <w:p>
      <w:pPr>
        <w:ind w:left="963" w:hanging="963"/>
        <w:spacing w:after="0"/>
        <w:tabs>
          <w:tab w:leader="none" w:pos="963" w:val="left"/>
        </w:tabs>
        <w:numPr>
          <w:ilvl w:val="0"/>
          <w:numId w:val="8"/>
        </w:numPr>
        <w:rPr>
          <w:rFonts w:ascii="Arial" w:cs="Arial" w:eastAsia="Arial" w:hAnsi="Arial"/>
          <w:sz w:val="16"/>
          <w:szCs w:val="16"/>
          <w:color w:val="auto"/>
        </w:rPr>
      </w:pPr>
      <w:r>
        <w:rPr>
          <w:rFonts w:ascii="Arial" w:cs="Arial" w:eastAsia="Arial" w:hAnsi="Arial"/>
          <w:sz w:val="16"/>
          <w:szCs w:val="16"/>
          <w:color w:val="auto"/>
        </w:rPr>
        <w:t>(3,019,090)</w:t>
      </w:r>
    </w:p>
    <w:p>
      <w:pPr>
        <w:spacing w:after="0" w:line="233" w:lineRule="exact"/>
        <w:rPr>
          <w:sz w:val="20"/>
          <w:szCs w:val="20"/>
          <w:color w:val="auto"/>
        </w:rPr>
      </w:pPr>
    </w:p>
    <w:p>
      <w:pPr>
        <w:sectPr>
          <w:pgSz w:w="11900" w:h="16838" w:orient="portrait"/>
          <w:cols w:equalWidth="0" w:num="2">
            <w:col w:w="6437" w:space="720"/>
            <w:col w:w="1862"/>
          </w:cols>
          <w:pgMar w:left="1440" w:top="517"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1—Description of Organization and Business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Organization and General</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890 5th Avenue Partners, Inc. (the “Company”) is a blank check company incorporated in Delaware on September 9,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As of June 30, 2021, the Company had not commenced any operations. All activity for the period from September 9, 2020 (inception) through June 30, 2021 relates to the Company’s formation, the initial public offering (the “Initial Public Offering”) described below, the search for and evaluation and due diligence of potential targets for an initial business combination, and the negotiation and drafting of documentation for the Business Combination and Convertible Note Financing (as defined below). The Company will not generate any operating revenues until after the completion of its initial Business Combination, at the earliest. The Company generates non-operating income in the form of interest income on investments held in the trust account from the proceeds from the Initial Public Offering and the sale of the private placement.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Sponsor and Financing</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Company’s sponsor is 200 Park Avenue Partners, LLC, a Delaware limited liability company (the “Sponsor”). The registration statement for the Company’s Initial Public Offering was declared effective on January 11, 2021. On January 14, 2021, the Company consummated its Initial Public Offering of 28,750,000 units (the “Units” and, with respect to the Class A common stock included in the Units being offered, the “Public Shares”), including 3,750,000 additional Units to cover over-allotments (the “Over-Allotment Units”), at $10.00 per Unit, generating gross proceeds of $287.5 million, and incurring offering costs of approximately $6.2 million.</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777,500 units (each, a “Private Placement Unit” and collectively, the “Private Placement Units”) at a price of $10.00 per Private Placement Unit to the Sponsor, PA 2 Co-Investment LLC (an affiliate of Cowen and Company, LLC, a representative of the underwriters), and Craig-Hallum Capital Group LLC (a representative of the underwriters) and its affiliate, generating proceeds of approximately $7.8 million, and incurring offering costs of approximately $12,000 (Note 4).</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Trust Account</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Upon the closing of the Initial Public Offering and the Private Placement, an aggregate of $287.5 million ($10.00 per Unit) of the net proceeds of the Initial Public Offering and certain of the proceeds of the Private Placement was held in a trust account (“Trust Account”) located in the United States with Continental Stock Transfer &amp; Trust Company acting as trustee, and invested only in U.S. “government securities” within the meaning of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Private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(excluding taxes payable on the income earned on the trust account) at the time of signing a definitive agreement in connection with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w:t>
      </w:r>
    </w:p>
    <w:p>
      <w:pPr>
        <w:spacing w:after="0" w:line="185"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The Company will provide the holders of the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“A&amp;R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agreed to vote their Founder Shares (as defined below in Note 4) and any Public Shares purchased during or after the Initial Public Offering in favor of a Business Combination. In addition, the initial stockholders agreed to waive their redemption rights with respect to their Founder Shares and Public Shares in connection with the completion of a Business Combination.</w:t>
      </w:r>
    </w:p>
    <w:p>
      <w:pPr>
        <w:spacing w:after="0" w:line="18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A&amp;R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5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holders of the Founder Shares (as defined in Note 4) prior to the Initial Public Offering (the “initial stockholders”) agreed not to propose an amendment to the A&amp;R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Initial Public Offering, or January 14, 2023 (the “Combination Period”), the Company will (i) cease all operations except for the purpose of winding up; (2) as promptly as reasonably possible but not more than 10 business days thereafter, redeem the Public Shares, at a per share price, payable in cash, equal to the aggregate amount then on deposit in the Trust Account, including interest earned on the funds held in the Trust Account and not previously released to the Company to pay its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the remaining stockholders and the board of directors, dissolve and liquidate, subject in each case to the Company’s obligations under Delaware law to provide for claims of creditors and the requirements of other applicable law.</w:t>
      </w:r>
    </w:p>
    <w:p>
      <w:pPr>
        <w:spacing w:after="0" w:line="18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initial stockholders agreed to waive their rights to liquidating distributions from the Trust Account with respect to the Founder Shares if the Company fails to complete a Business Combination within the Combination Period. However, if the initial stockholders acquire Public Shares in or after the Initial Public Offering, they will be entitled to liquidating distributions from the Trust Account with respect to such Public Shares if the Company fails to complete a Business Combination within the Combination Period.</w:t>
      </w:r>
    </w:p>
    <w:p>
      <w:pPr>
        <w:spacing w:after="0" w:line="188"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the event of such distribution, it is possible that the per share value of the residual assets remaining available for distribution (including Trust Account assets) will be only $10.00. In order to protect the amounts held in the Trust Account, the Sponsor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Proposed Business Combination</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On June 24, 2021, the Company entered into an Agreement and Plan of Merger (the “Merger Agreement”), by and among the Company, Bolt Merger Sub I, Inc., a Delaware corporation and a direct, wholly owned subsidiary of the Company (“Merger Sub I”), Bolt Merger Sub II, Inc., a Delaware corporation and a direct, wholly owned subsidiary of the Company (“Merger Sub II”), and BuzzFeed, Inc., a Delaware corporation (“BuzzFeed”).</w:t>
      </w:r>
    </w:p>
    <w:p>
      <w:pPr>
        <w:spacing w:after="0" w:line="17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Merger Agreement provides for, among other things, the following transactions at the closing: Merger Sub I will merge with and into BuzzFeed, with BuzzFeed as the surviving company in the merger and, after giving effect to such merger, continuing as a wholly owned subsidiary of the Company (the “Merger”). Immediately following the Merger, BuzzFeed will merge with and into Merger Sub II (the “Second Merger,” together with the Merger, the “Two-Step Merger”) with Merger Sub II being the surviving company of the Second Merger. The Two-Step Merger and the other transactions contemplated by the Merger Agreement are hereinafter referred to as the “Business Combination.”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accordance with the terms and subject to the conditions of the Merger Agreement, each share of Class A common stock of BuzzFeed, Class B common stock of BuzzFeed, Class C common stock of BuzzFeed and preferred stock of BuzzFeed, other than company restricted stock awards, excluded shares and dissenting shares shall be cancelled and automatically converted into a number of shares of Class A common stock of the Company equal to the quotient, rounded to the tenth decimal place, obtained by dividing 30,880,000 by the aggregate number of shares of BuzzFeed Series F Preferred Stock and BuzzFeed Series G Preferred Stock outstanding as of the effective time; (ii) each share of BuzzFeed Class A Common Stock and BuzzFeed Preferred Stock (other than BuzzFeed Series F Preferred Stock, BuzzFeed Series G Preferred Stock, company restricted stock awards, excluded shares and dissenting shares) shall be converted into the right to receive a number of shares of Class A Common Stock of the Company equal to the quotient of: (A) the remaining per share amount, divided by (B) $10.00; (iii) each share of BuzzFeed Class B Common Stock (other than excluded shares and dissenting shares) shall be converted into the right to receive a number of shares of Class B common stock of the Company equal to the quotient of: (A) the remaining per share amount, divided by (B) $10.00; and (iv) each share of BuzzFeed Class C Common Stock (other than excluded shares and dissenting shares) shall be converted into the right to receive a number of shares of Class C common stock of the Company equal to the quotient of: (A) the remaining per share amount, divided by (B) $10.00.</w:t>
      </w:r>
    </w:p>
    <w:p>
      <w:pPr>
        <w:spacing w:after="0" w:line="18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Concurrently with the execution of the Merger Agreement, the Company entered into a convertible note subscription agreement (the “Convertible Note Subscription Agreement”) with certain investors (the “Note Investors”), in respect of $150.0 million aggregate principal amount of unsecured convertible notes due in 2026 (the “Notes”) to be issued in connection with the closing of the Business Combination The principal terms of the Notes are set forth in the term sheet attached as an exhibit to the Convertible Note Subscription Agreement and will be embodied in an indenture to be entered into in connection with the closing of the Business Combination between BuzzFeed, the guarantors party thereto and the indenture trustee (the “Indenture”) and the form of global note attached thereto. The Notes will bear interest at a rate of 7.00% per annum, payable semi-annually (provided, however, that if there is less than $144.0 million in 890’s trust account immediately following the closing date of the transactions subject of the Convertible Note Subscription Agreement (the “Convertible Note Financing”), the stated interest rate shall be 8.50% per annum), will be convertible into approximately 12,000,000 shares of Class A common stock at an initial conversion price of the lesser of (x) $12.50 and (y) a 25% premium to the lowest per share price at which any equity of 890 is issued prior to the closing of the Business Combination in accordance with the terms thereof, and shall mature on the date that is five years following the closing of the Convertible Note Financing.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June 30, 2021, the Company had approximately $498,000 in cash and working capital deficit of approximately $453,000, not taking into account tax obligations of approximately $100,000 that may be paid using investment income earned from Trust Account.</w:t>
      </w:r>
    </w:p>
    <w:p>
      <w:pPr>
        <w:spacing w:after="0" w:line="18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Company’s liquidity needs prior to the consummation of the Initial Public Offering were satisfied through the cash proceeds of $25,000 from the sale of the Founder Shares (as defined in Note 4), loan from the Sponsor of $300,000 under the Note (as defined in Note 4), and advances from related party of approximately $13,000 (Note 4). The Company repaid the Note of $300,000 in full on January 14, 2021 and the Company reimbursed the advances from the related party in full in February 2021. Subsequent to the consummation of the Initial Public Offering, the Company’s liquidity needs have been satisfied through the net proceeds from the consummation of the Private Placement held outside of the Trust Account. In addition, in order to finance transaction costs in connection with a Business Combination, the Sponsor, members of our management team or any of their affiliates or other third parties, may, but are not obligated to (except as described below), provide the Company with Working Capital Loans (as defined in Note 4). The Working Capital Loans will either be repaid upon consummation of a Business Combination, without interest, or, at the lender’s discretion, up to $1.5 million of such Working Capital Loans may be convertible into units of the post-Business Combination entity at a price of $10.00 per unit. The units would be identical to the Private Placement Units.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May 27, 2021, the Sponsor committed to provide to the Company an aggregate of up to $1.6 million in loans, and on August 6, 2021, the Sponsor committed to provide to the Company an additional amount of up to $0.8 million in loans for an aggregate of up to $2.4 million in loans, in each case in order to finance the Company’s working capital needs (including transaction costs in connection with a Business Combination) (the foregoing, the “Sponsor Loan Commitment”). As described above, up to $1.5 million of the Sponsor Loan Commitment (in the aggregate with any other Working Capital Loans) may be convertible into units of the post-Business Combination entity at a price of $10.00 per unit at the option of the lender. On August 3, 2021, the Company borrowed from the Sponsor the amount of $0.5 million under the Sponsor Loan Commitment, which amount remains outstanding.</w:t>
      </w:r>
    </w:p>
    <w:p>
      <w:pPr>
        <w:spacing w:after="0" w:line="9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Based on the foregoing, management has since reevaluated the Company’s liquidity and financial condition and believes that the Company will have sufficient working capital and borrowing capacity to meet its needs through the earlier of the consummation of a Business Combination or one year from this filing. Over this time period, the Company will be using the funds held outside of the Trust Account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37" w:lineRule="exact"/>
        <w:rPr>
          <w:sz w:val="20"/>
          <w:szCs w:val="20"/>
          <w:color w:val="auto"/>
        </w:rPr>
      </w:pPr>
    </w:p>
    <w:p>
      <w:pPr>
        <w:ind w:left="60" w:right="2939"/>
        <w:spacing w:after="0" w:line="424" w:lineRule="auto"/>
        <w:rPr>
          <w:sz w:val="20"/>
          <w:szCs w:val="20"/>
          <w:color w:val="auto"/>
        </w:rPr>
      </w:pPr>
      <w:r>
        <w:rPr>
          <w:rFonts w:ascii="Arial" w:cs="Arial" w:eastAsia="Arial" w:hAnsi="Arial"/>
          <w:sz w:val="18"/>
          <w:szCs w:val="18"/>
          <w:b w:val="1"/>
          <w:bCs w:val="1"/>
          <w:color w:val="auto"/>
        </w:rPr>
        <w:t>Note 2—Basis of Presentation and Summary of Significant Accounting Policies Basis of Presentation</w:t>
      </w:r>
    </w:p>
    <w:p>
      <w:pPr>
        <w:spacing w:after="0" w:line="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accompanying unaudited condensed consolidated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consolidated financial statements reflect all adjustments, which include only normal recurring adjustments necessary for the fair statement of the balances and results for the period presented. Operating results for the three and six months ended June 30, 2021 are not necessarily indicative of the results that may be expected through December 31, 2021.</w:t>
      </w:r>
    </w:p>
    <w:p>
      <w:pPr>
        <w:spacing w:after="0" w:line="9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audited balance sheet and notes thereto included in the Form 8-K and the final prospectus filed by the Company with the SEC on January 21, 2021 and January 13, 2021, respectively. During the course of preparing the quarterly report on Form 10-Q for the three-month period ended March 31, 2021, the Company identified misapplication of accounting guidance related to the Company’s warrants in the Company’s previously issued audited balance sheet dated January 14, 2021, filed on Form 8-K on January 21, 2021 (the “Post-IPO Balance Sheet”). The warrants were reflected as a component of equity in the Post-IPO Balance Sheet as opposed to liabilities on the balance sheet, based on the Company’s application of FASB ASC Topic 815-40, “Derivatives and Hedging, Contracts in Entity’s Own Equity” (“ASC 815-40”), FASB ASC Topic 250, “Accounting Changes and Error Corrections,” and Staff Accounting Bulletin 99, “Materiality” (“SAB 99”) issued by the SEC, the Company determined the impact of the error was immaterial.</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Principles of Consolidation</w:t>
      </w:r>
    </w:p>
    <w:p>
      <w:pPr>
        <w:spacing w:after="0" w:line="162"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condensed consolidated financial statements of the Company include its wholly-owned subsidiaries in connection with the planned merger. All inter-company accounts and transactions are eliminated in consolidation.</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w:t>
      </w:r>
    </w:p>
    <w:p>
      <w:pPr>
        <w:spacing w:after="0" w:line="16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8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This may make comparison of the Company’s unaudited condensed consolidated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preparation of unaudited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Making estimates requires management to exercise significant judgment. It is at least reasonably possible that the estimate of the effect of a condition, situation or set of circumstances that existed at the date of the unaudited condensed financial statements, which management considered in formulating its estimate, could change in the near term due to one or more future confirming events. Actual results could differ from those estimates.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limit of $250,000. At June 30, 2021, the Company has not experienced losses on these accounts and management believes the Company is not exposed to significant risks on such accounts.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had no cash equivalents as of June 30, 2021 and December 31, 2020.</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Investments Held in the Trust Account</w:t>
      </w:r>
    </w:p>
    <w:p>
      <w:pPr>
        <w:spacing w:after="0" w:line="229"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Company’s portfolio of investments held in the Trust Account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are included in net gain from investments held in Trust Account in the accompanying unaudited condensed consolidated statements of operations. The estimated fair values of investments held in the Trust Account are determined using available market information.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the FASB ASC Topic 820, “Fair Value Measurements,” equal or approximate the carrying amounts represented in the condensed balance sheets.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hierarchy gives the highest priority to unadjusted quoted prices in active markets for identical assets or liabilities (Level 1 measurements) and the lowest priority to unobservable inputs (Level 3 measurements). These tiers consist of:</w:t>
      </w:r>
    </w:p>
    <w:p>
      <w:pPr>
        <w:spacing w:after="0" w:line="124" w:lineRule="exact"/>
        <w:rPr>
          <w:sz w:val="20"/>
          <w:szCs w:val="20"/>
          <w:color w:val="auto"/>
        </w:rPr>
      </w:pPr>
    </w:p>
    <w:p>
      <w:pPr>
        <w:ind w:left="720" w:right="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83"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Offering costs consisted of legal, accounting, underwriting fees and other costs incurred through the Initial Public Offering that were directly related to the Initial Public Offering. Offering costs are allocated to the separable financial instruments issued in the Initial Public Offering based on a relative fair value basis, compared to total proceeds received. Offering costs associated with warrant liabilities are expensed as incurred, presented as non-operating expenses in the statements of operations. Offering costs associated with the Class A common stock were charged to shareholders’ equity upon the completion of the Initial Public Offering.</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 Warrant Liabilities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Topic 815, “Derivatives and Hedging” (“ASC 815”). The classification of derivative instruments, including whether such instruments should be recorded as liabilities or as equity, is re-assessed at the end of each reporting period.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 accounts for its warrants issued in connection with its Initial Public Offering and Private Placement recognized as derivative liabilities in accordance with ASC 815. Accordingly, the Company recognizes the warrant instruments as liabilities at fair value and adjusts the instruments to fair value at each reporting period. The liabilities are subject to re-measurement at each balance sheet date until exercised, and any change in fair value is recognized in the Company’s condensed consolidated statements of operations. The fair value of warrants issued in connection with the Initial Public Offering was initially measured using Binominal Lattice simulation and subsequently been measured on the market price of such warrants at each measurement date when separately listed and traded. The fair value of warrants issued in connection with the Private Placement has been estimated using modified Black-Scholes Option Pricing Model at each measurement date.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Class A Common Stock Subject to Possible Redemption</w:t>
      </w:r>
    </w:p>
    <w:p>
      <w:pPr>
        <w:spacing w:after="0" w:line="229"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Company accounts for its Class A common stock subject to possible redemption in accordance with the guidance in ASC Topic 480 “Distinguishing Liabilities from Equity.” Class A common stock subject to mandatory redemption (if any) are classified as liability instruments and are measured at fair value. Conditionally redeemable Class A common stock (including shares of Class A common stock that feature redemption rights that are either within the control of the holder or subject to redemption upon the occurrence of uncertain events not solely within the Company’s control) are classified as temporary equity. At all other times, Class A common stock are classified as stockholders’ equity. The Company’s Class A common stock feature certain redemption rights that are considered to be outside of the Company’s control and subject to occurrence of uncertain future events. Accordingly, at June 30, 2021, 26,963,158 shares of Class A common stock subject to possible redemption at the redemption amount were presented at redemption value as temporary equity, outside of the stockholders’ equity section of the Company’s consolidated balance sheets.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(Loss) per Share of Common Stock</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income (loss) per share of common stock is computed by dividing net income (loss) by the weighted average number of shares of common stock outstanding during the period. The calculation of diluted net income (loss) per share of common stock does not consider the effect of the warrants issued in connection with the Initial Public Offering and Private Placement since the exercise price of the warrants is in excess of the average stock price for the period and therefore the inclusion of such warrants would be anti-dilutive.</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Company’s consolidated statements of operations includes a presentation of income (loss) per share of common stock for Class A common stock subject to possible redemption in a manner similar to the two-class method of income (loss) per share of common stock. Net income per common share, basic and diluted, for Class A common stock subject to possible redemption is calculated by dividing the proportionate share of interest income from investments held in the Trust Account, net of applicable franchise and income taxes, by the weighted average number of shares of Class A common stock subject to possible redemption outstanding since original issuance.</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Net loss per share of common stock, basic and diluted, for non-redeemable common stock is calculated by dividing the net loss, less income attributable to Class A common stock, by the weighted average number of non-redeemable common stock outstanding for the period.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Non-redeemable common stock includes Founder Shares and non-redeemable shares of Class A common stock as these shares do not have any redemption features. Non-redeemable common stock participates in the income or loss on marketable securities based on non-redeemable shares’ proportionate interest.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calculation of basic and diluted net income (loss)per share of common stock:</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Class A common stock subject to possible redemption</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Numerator:</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gain from investments held in Trust Account</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w w:val="99"/>
              </w:rPr>
              <w:t>Less: Company's portion available to be withdrawn to pay taxes</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60" w:type="dxa"/>
            <w:vAlign w:val="bottom"/>
            <w:shd w:val="clear" w:color="auto" w:fill="CCEEFF"/>
          </w:tcPr>
          <w:p>
            <w:pPr>
              <w:ind w:left="200"/>
              <w:spacing w:after="0" w:line="182" w:lineRule="exact"/>
              <w:rPr>
                <w:sz w:val="20"/>
                <w:szCs w:val="20"/>
                <w:color w:val="auto"/>
              </w:rPr>
            </w:pPr>
            <w:r>
              <w:rPr>
                <w:rFonts w:ascii="Arial" w:cs="Arial" w:eastAsia="Arial" w:hAnsi="Arial"/>
                <w:sz w:val="18"/>
                <w:szCs w:val="18"/>
                <w:color w:val="auto"/>
              </w:rPr>
              <w:t>Net income attributable to Class A common stock subject to</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possible redemption</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Denominator:</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8"/>
              </w:rPr>
              <w:t>Weighted average shares outstanding of Class A common stock</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subject to possible redemption, basic and diluted</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27,388,576</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27,332,731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60" w:type="dxa"/>
            <w:vAlign w:val="bottom"/>
          </w:tcPr>
          <w:p>
            <w:pPr>
              <w:spacing w:after="0" w:line="182" w:lineRule="exact"/>
              <w:rPr>
                <w:sz w:val="20"/>
                <w:szCs w:val="20"/>
                <w:color w:val="auto"/>
              </w:rPr>
            </w:pPr>
            <w:r>
              <w:rPr>
                <w:rFonts w:ascii="Arial" w:cs="Arial" w:eastAsia="Arial" w:hAnsi="Arial"/>
                <w:sz w:val="18"/>
                <w:szCs w:val="18"/>
                <w:color w:val="auto"/>
                <w:w w:val="90"/>
              </w:rPr>
              <w:t>Basic and diluted net income per share, Class A common stock subject</w:t>
            </w:r>
          </w:p>
        </w:tc>
        <w:tc>
          <w:tcPr>
            <w:tcW w:w="38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vMerge w:val="restart"/>
          </w:tcPr>
          <w:p>
            <w:pPr>
              <w:jc w:val="right"/>
              <w:ind w:right="87"/>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80" w:type="dxa"/>
            <w:vAlign w:val="bottom"/>
            <w:gridSpan w:val="2"/>
          </w:tcPr>
          <w:p>
            <w:pPr>
              <w:spacing w:after="0"/>
              <w:rPr>
                <w:sz w:val="20"/>
                <w:szCs w:val="20"/>
                <w:color w:val="auto"/>
              </w:rPr>
            </w:pPr>
            <w:r>
              <w:rPr>
                <w:rFonts w:ascii="Arial" w:cs="Arial" w:eastAsia="Arial" w:hAnsi="Arial"/>
                <w:sz w:val="18"/>
                <w:szCs w:val="18"/>
                <w:color w:val="auto"/>
              </w:rPr>
              <w:t>to possible redemption</w:t>
            </w:r>
          </w:p>
        </w:tc>
        <w:tc>
          <w:tcPr>
            <w:tcW w:w="380" w:type="dxa"/>
            <w:vAlign w:val="bottom"/>
            <w:gridSpan w:val="2"/>
            <w:vMerge w:val="continue"/>
          </w:tcPr>
          <w:p>
            <w:pPr>
              <w:spacing w:after="0"/>
              <w:rPr>
                <w:sz w:val="22"/>
                <w:szCs w:val="22"/>
                <w:color w:val="auto"/>
              </w:rPr>
            </w:pPr>
          </w:p>
        </w:tc>
        <w:tc>
          <w:tcPr>
            <w:tcW w:w="1520" w:type="dxa"/>
            <w:vAlign w:val="bottom"/>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i w:val="1"/>
                <w:iCs w:val="1"/>
                <w:color w:val="auto"/>
              </w:rPr>
              <w:t>Non-redeemable common stock</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(4,301,444)</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(3,260,449)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6"/>
              </w:rPr>
              <w:t>Less: Net income attributable to Class A common stock subject to</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possible redemption</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Net loss attributable to non-redeemable common stock</w:t>
            </w:r>
          </w:p>
        </w:tc>
        <w:tc>
          <w:tcPr>
            <w:tcW w:w="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(4,301,444)</w:t>
            </w:r>
          </w:p>
        </w:tc>
        <w:tc>
          <w:tcPr>
            <w:tcW w:w="1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(3,260,449)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ind w:left="80"/>
              <w:spacing w:after="0" w:line="201" w:lineRule="exact"/>
              <w:rPr>
                <w:sz w:val="20"/>
                <w:szCs w:val="20"/>
                <w:color w:val="auto"/>
              </w:rPr>
            </w:pPr>
            <w:r>
              <w:rPr>
                <w:rFonts w:ascii="Arial" w:cs="Arial" w:eastAsia="Arial" w:hAnsi="Arial"/>
                <w:sz w:val="18"/>
                <w:szCs w:val="18"/>
                <w:color w:val="auto"/>
                <w:w w:val="94"/>
              </w:rPr>
              <w:t>Weighted average shares outstanding of non-redeemable common</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9,157,299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stock, basic and diluted</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9,326,424</w:t>
            </w: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3"/>
              </w:rPr>
              <w:t>Basic and diluted net loss per share, non-redeemable common stock</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(0.46)</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6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June 30, 2021. The Company recognizes accrued interest and penalties related to unrecognized tax benefits as income tax expense. No amounts were accrued for the payment of interest and penalties as of June 30,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Debt—Debt with Conversion and Other Options (Subtopic 470-20)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Derivatives and Hedging—Contracts in Entity’s Own Equity (Subtopic 815-40): Accounting for Convertible Instruments and Contracts in an Entity’s Own Equity </w:t>
      </w:r>
      <w:r>
        <w:rPr>
          <w:rFonts w:ascii="Arial" w:cs="Arial" w:eastAsia="Arial" w:hAnsi="Arial"/>
          <w:sz w:val="17"/>
          <w:szCs w:val="17"/>
          <w:color w:val="auto"/>
        </w:rPr>
        <w:t>(“ASU 2020-06”), which simplifies accounting for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Company’s management does not believe that any other recently issued, but not yet effective, accounting standards if currently adopted would have a material effect on the accompanying consolidated financial statements.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3—Initial Public Offering</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January 14, 2021, the Company consummated its Initial Public Offering of 28,750,000 Units, including 3,750,000 Over-Allotment Units, at $10.00 per Unit, generating gross proceeds of $287.5 million, and incurring offering costs of approximately $6.2 million.</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Each Unit consists of one share of Class A common stock, and one-third of one redeemable warrant (each, a “Public Warrant”). Each Public Warrant entitles the holder to purchase one share of Class A common stock at a price of $11.50 per share, subject to adjustment (see Note 7).</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 certain qualified institutional buyer (the “Anchor Investor”) purchased 1,000,000 Units in the Initial Public Offering. The Anchor Investor subscribed for membership interests in the Sponsor representing an indirect beneficial interest in 212,621 Founder Shares and 28,750 Private Placement Units.</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Anchor Investor agreed to vote any shares that it holds (including any Public Shares that it holds) in favor of the initial Business Combination, and a smaller portion of affirmative votes from other Public Stockholders would be required to approve the initial Business Combination. As a result of the Private Placement Units that the Anchor Investor holds, it may have different interests with respect to a vote on an initial Business Combination than other Public Stockholders.</w:t>
      </w:r>
    </w:p>
    <w:p>
      <w:pPr>
        <w:spacing w:after="0" w:line="15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Anchor Investor will not have any rights to the funds held in the Trust Account beyond the rights afforded to the Public Stockholders, as described herein.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4—Related Party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October 2020, the Sponsor purchased 7,187,500 shares of the Company’s Class F common stock, par value $0.0001 per share, (the “Founder Shares”) for an aggregate price of $25,000. The initial stockholders agreed to forfeit up to 937,500 Founder Shares to the extent that the over-allotment option was not exercised in full by the underwriters, so that the Founder Shares would represent 20% of the Company’s issued and outstanding shares after the Initial Public Offering (excluding the shares comprising the Private Placement Units). The underwriter exercised its over-allotment option in full on January 14, 2021; thus, the 937,500 Founder Shares were no longer subject to forfeiture.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initial stockholders agreed, subject to limited exceptions, not to transfer, assign or sell any of the Founder Shares until the earlier to occur of: (A) one year after the completion of the initial Business Combination or (B) subsequent to the initial Business Combination, (x) if the last reported sale price of the Class A common stock equals or exceeds $12.00 per share (as adjusted for stock splits, stock dividends, reorganizations, recapitalizations and the like) for any 20 trading days within any 30-trading day period commencing at least 150 days after the initial Business Combination, or (y) the date following the completion of the initial Business Combination on which the Company completes a liquidation, merger, stock exchange, reorganization or other similar transaction that results in all of the stockholders having the right to exchange their shares of Class A common stock for cash, securities or other property.</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Private Placement Units</w:t>
      </w:r>
    </w:p>
    <w:p>
      <w:pPr>
        <w:spacing w:after="0" w:line="18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777,500 Private Placement Units at a price of $10.00 per Private Placement Unit to the Sponsor, PA 2 Co-Investment LLC, and Craig-Hallum Capital Group LLC and its affiliate, generating proceeds of approximately $7.8 million, and incurring offering cots of approximately $12,000.</w:t>
      </w:r>
    </w:p>
    <w:p>
      <w:pPr>
        <w:spacing w:after="0" w:line="16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Private Placement Units (including the shares comprising the Private Placement Units, the Private Placement Warrants (as defined below) and shares of Class A common stock issuable upon exercise of such warrants) are not transferable or saleable until 30 days after the completion of the initial Business Combination.</w:t>
      </w:r>
    </w:p>
    <w:p>
      <w:pPr>
        <w:spacing w:after="0" w:line="143"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Each whole private placement warrant underlying the Private Placement Units (the “Private Placement Warrants”) is exercisable for one whole share of Class A common stock at a price of $11.50 per share. A portion of the proceeds from the Private Placement Units has been added to the proceeds from the Initial Public Offering to be held in the Trust Account. The Private Placement Units (including the shares comprising the Private Placement Units, the Private Placement Warrants and shares of Class A common stock issuable upon exercise of such warrants) are not transferable or salable until 30 days after the completion of the initial Business Combination. If the Company does not complete a Business Combination within the Combination Period, the Private Placement Units and the underlying securities will expire worthless.</w:t>
      </w:r>
    </w:p>
    <w:p>
      <w:pPr>
        <w:spacing w:after="0" w:line="12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Loans</w:t>
      </w:r>
    </w:p>
    <w:p>
      <w:pPr>
        <w:spacing w:after="0" w:line="18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October 15, 2020, the Sponsor agreed to loan the Company an aggregate of up to $300,000 to cover expenses related to the Initial Public Offering pursuant to a promissory note (the “Note”). This loan was non-interest bearing and payable upon the completion of the Initial Public Offering. The Company borrowed $300,000 under the Note as of December 31, 2020 and repaid the Note in full on January 14, 2021.</w:t>
      </w:r>
    </w:p>
    <w:p>
      <w:pPr>
        <w:spacing w:after="0" w:line="14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In addition, an affiliate of the Sponsor advanced approximately $13,000 to cover for certain expenses on behalf of the Company. The Company reimbursed the advances from the affiliate of the Sponsor in full in February 2021.</w:t>
      </w:r>
    </w:p>
    <w:p>
      <w:pPr>
        <w:spacing w:after="0" w:line="11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members of our management team or any of their affiliates or other third parties, may, but are not obligated to (except as described below),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units of the post-Business Combination entity at a price of $10.00 per unit at the option of the lender. The units would be identical to the Private Placement Units. Except for the foregoing, the terms of such Working Capital Loans, if any, have not been determined and no written agreements exist with respect to such loans. As of June 30, 2021 and December 31, 2020, the Company had no borrowings under the Working Capital Loans.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May 27, 2021, the Sponsor committed to provide to the Company an aggregate of up to $1.6 million in loans, and on August 6, 2021, the Sponsor committed to provide to the Company an additional amount of up to $0.8 million in loans for an aggregate of up to $2.4 million in loans, in each case in order to finance the Company’s working capital needs (including transaction costs in connection with a Business Combination). As described above, up to $1.5 million of the Sponsor Loan Commitment (in the aggregate with any other Working Capital Loans) may be convertible into units of the post-Business Combination entity at a price of $10.00 per unit at the option of the lender. On August 3, 2021, the Company borrowed from the Sponsor the amount of $0.5 million under the Sponsor Loan Commitment, which amount remains outstanding.</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Administrative Services Agreement</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Commencing on the date of the listing of the Units on the Nasdaq Capital Market through the earlier of the consummation of the initial Business Combination or the liquidation of the Company, the Company will pay the Sponsor $20,000 per month for office space, utilities, general office and secretarial support, and administrative and support services. For the three and six months ended June 30, 2021, the Company incurred and paid approximately $60,000 and $120,000 in expenses for these services, respectively.</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addition, the Sponsor, executive officers and directors, or any of their respective affiliates will be reimbursed for any out-of-pocket expenses incurred in connection with activities on the Company’s behalf such as identifying potential partner businesses and performing due diligence on suitable Business Combinations. The Company’s audit committee will review on a quarterly basis all payments that were made by the Company to the Sponsor, executive officers or directors, or the Company’s or their affiliates. Any such payments prior to an initial Business Combination will be made using funds held outside the Trust Account.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5—Commitments &amp; Contingencies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holders of Founder Shares, Private Placement Units and units that may be issued upon conversion of Working Capital Loans (and any Class A common stock issuable upon the exercise of the Private Placement Units and units that may be issued upon conversion of Working Capital Loans and upon conversion of the Founder Shares) are entitled to registration rights pursuant to a registration rights agreement signed upon the consummation of the Initial Public Offering. These holders are entitled to make up to certain demands, excluding short form demands, that the Company registered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underwriters were entitled to an underwriting discount of $0.20 per unit, or approximately $5.8 million in the aggregate, paid upon the closing of the Initial Public Offering.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engaged certain underwriters in connection with the Business Combination to assist the Company in holding meetings with the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scope of engagement excludes identifying and/or evaluating possible acquisition candidates. Pursuant to the agreement with the underwriters, the marketing fee payable to the underwriters will be 3.5% of the gross proceeds of the Initial Public Offering, approximately $10.1 million in the aggregate.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unaudited condensed consolidated financial statements. The unaudited condensed consolidated financial statements do not include any adjustments that might result from the outcome of this uncertainty.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w:t>
      </w:r>
      <w:r>
        <w:rPr>
          <w:rFonts w:ascii="Arial" w:cs="Arial" w:eastAsia="Arial" w:hAnsi="Arial"/>
          <w:sz w:val="18"/>
          <w:szCs w:val="18"/>
          <w:color w:val="auto"/>
        </w:rPr>
        <w:t>—</w:t>
      </w: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As of June 30, 2021, there were 9,583,333 Public Warrants and 259,167 Private Placement Warrants outstanding. There were no warrants outstanding at December 31, 2020. 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 The Company agreed that as soon as practicable, but in no event later than 15 business days after the closing of the initial Business Combination, the Company will use its commercially reasonable efforts to file with the SEC and have an effective registration statement covering the shares of the Class A common stock issuable upon exercise of the warrants and to maintain a current prospectus relating to those shares of the Class A common stock until the warrants expire or are redeemed, as specified in the warrant agreement. If a registration statement covering the shares of the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17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warrants have an exercise price of $11.50 per whole share, subject to adjustments, and will expire five years after the completion of a Business Combination or earlier upon redemption or liquidation. 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board of directors and, in the case of any such issuance to the initial stockholders or their respective affiliates, without taking into account any Founder Shares or shares comprising the Private Placement Units held by them prior to such issuance), (y) the aggregate gross proceeds from such issuances represent more than 60% of the total equity proceeds, and interest thereon, available for the funding of the initial Business Combination, and (z) the volume weighted average trading price of the Class A common stock during the 10 trading day period starting on the trading day after the day on which the Company consummates its initial Business Combination (such price, the “Market Value”) is below $9.20 per share, the exercise price of the warrants will be adjusted (to the nearest cent) to be equal to 115% of the Market Value, and the $18.00 per share redemption trigger price described below will be adjusted (to the nearest cent) to be equal to 180% of the Market Value.</w:t>
      </w:r>
    </w:p>
    <w:p>
      <w:pPr>
        <w:spacing w:after="0" w:line="17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Private Placement Warrants are identical to the Public Warrants, except that the Private Placement Warrants and the shares of Class A common stock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Redemption of warrants when the price per share of Class A common stock equals or exceeds $18.00:</w:t>
      </w:r>
    </w:p>
    <w:p>
      <w:pPr>
        <w:spacing w:after="0" w:line="22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Once the warrants become exercisable, the Company may redeem the outstanding warrants for cash (except as described herein with respect to the Private Placement Warrants):</w:t>
      </w:r>
    </w:p>
    <w:p>
      <w:pPr>
        <w:spacing w:after="0" w:line="170"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9" w:lineRule="exact"/>
        <w:rPr>
          <w:rFonts w:ascii="Arial" w:cs="Arial" w:eastAsia="Arial" w:hAnsi="Arial"/>
          <w:sz w:val="18"/>
          <w:szCs w:val="18"/>
          <w:color w:val="auto"/>
        </w:rPr>
      </w:pPr>
    </w:p>
    <w:p>
      <w:pPr>
        <w:jc w:val="both"/>
        <w:ind w:left="720" w:right="79" w:hanging="319"/>
        <w:spacing w:after="0" w:line="25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and only if, the last reported sale price of Class A common stock equals or exceeds $18.00 per share (as adjusted for stock splits, stock dividends, reorganizations, recapitalizations and the like and for certain issuances of Class A common stock and equity-linked securities as described above) for any 20 trading days within a 30-trading day period ending on the third trading day prior to the date on which the Company sends the notice of redemption to the warrant holders.</w:t>
      </w:r>
    </w:p>
    <w:p>
      <w:pPr>
        <w:spacing w:after="0" w:line="19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will not redeem the warrants unless a registration statement under the Securities Act covering the issuance of the shares of Class A common stock issuable upon exercise of the warrants is then effective and a current prospectus relating to those shares of common stock is available throughout the 30-day redemption period, except if the warrants may be exercised on a cashless basis and such cashless exercise is exempt from registration under the Securities Act. If and when the warrants become redeemable by the Company, it may exercise its redemption right even if it is unable to register or qualify the underlying securities for sale under all applicable state securities laws.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If the Company calls the warrants for redemption as described above, the management will have the option to require all holders that wish to exercise warrants to do so on a “cashless basis.”</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Redemption of warrants for when the price per share of Class A common stock equals or exceeds $10.00:</w:t>
      </w:r>
    </w:p>
    <w:p>
      <w:pPr>
        <w:spacing w:after="0" w:line="23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Commencing ninety days after the warrants become exercisable, the Company may redeem the outstanding Public Warrants:</w:t>
      </w:r>
    </w:p>
    <w:p>
      <w:pPr>
        <w:spacing w:after="0" w:line="170" w:lineRule="exact"/>
        <w:rPr>
          <w:sz w:val="20"/>
          <w:szCs w:val="20"/>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determined by reference to an agreed table based on the redemption date and the “fair market value” of Class A common stock;</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9" w:lineRule="exact"/>
        <w:rPr>
          <w:rFonts w:ascii="Arial" w:cs="Arial" w:eastAsia="Arial" w:hAnsi="Arial"/>
          <w:sz w:val="18"/>
          <w:szCs w:val="18"/>
          <w:color w:val="auto"/>
        </w:rPr>
      </w:pPr>
    </w:p>
    <w:p>
      <w:pPr>
        <w:jc w:val="both"/>
        <w:ind w:left="720" w:right="79" w:hanging="319"/>
        <w:spacing w:after="0" w:line="265"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and only if, the last reported sale price of the Company’s Class A common stock equals or exceeds $10.00 per share (as adjusted for stock splits, stock dividends, reorganizations, recapitalizations and the like) on the trading day prior to the date on which the Company sends the notice of redemption to the warrant holders;</w:t>
      </w:r>
    </w:p>
    <w:p>
      <w:pPr>
        <w:jc w:val="both"/>
        <w:ind w:left="720" w:right="79" w:hanging="319"/>
        <w:spacing w:after="0" w:line="255"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and only if, there is an effective registration statement covering the issuance of the shares of Class A common stock issuable upon exercise of the warrants and a current prospectus relating thereto is available throughout the 30-day period after the written notice of redemption is given.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7—Stockholders’ Equity</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color w:val="auto"/>
        </w:rPr>
        <w:t>- The Company filed its initial Certificate of Incorporation on September 9, 2020, which authorized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of preferred stock. The Company filed its A&amp;R Certificate of Incorporation on January 11, 2021, which authorized 5,000,000 shares of preferred stock, par value $0.0001 per share. The Company is authorized to issue 5,000,000 shares of preferred stock, par value $0.0001 per share, with such designations, voting and other rights and preferences as may be determined from time to time by the Company’s board of directors. As of June 30, 2021 and December 31, 2020, there were no shares of preferred stock issued or outstanding.</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filed its initial Certificate of Incorporation on September 9, 2020,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no shares of Class A common stock. The Company filed its A&amp;R Certificate of Incorporation on January 11, 2021, which authorized 500,000,000 shares of Class A common stock, par value $0.0001 per share. The Company is authorized to issue 500,000,000 shares of Class A common stock with a par value of $0.0001 per share. As of June 30, 2021, there were 2,564,342 shares of Class A common stock issued and outstanding, excluding 26,963,158 shares of Class A common stock subject to possible redemption. At December 31, 2020, there were no Class A common stock issued and outstanding.</w:t>
      </w:r>
    </w:p>
    <w:p>
      <w:pPr>
        <w:spacing w:after="0" w:line="19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b w:val="1"/>
          <w:bCs w:val="1"/>
          <w:i w:val="1"/>
          <w:iCs w:val="1"/>
          <w:color w:val="auto"/>
        </w:rPr>
        <w:t xml:space="preserve">Class F Common Stock - </w:t>
      </w:r>
      <w:r>
        <w:rPr>
          <w:rFonts w:ascii="Arial" w:cs="Arial" w:eastAsia="Arial" w:hAnsi="Arial"/>
          <w:sz w:val="18"/>
          <w:szCs w:val="18"/>
          <w:color w:val="auto"/>
        </w:rPr>
        <w:t>The Company is authorized to issue 25,000,000 shares of Class F common stock with a par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$0.0001 per share. In October 2020, the Company issued 7,187,500 shares of Class F common stock, including an aggregate of 937,500 shares of Class F common stock that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(excluding the shares comprising the Private Placement Units). The underwriter exercised its over-allotment option in full on January 14, 2021; thus, the 937,500 shares of Class F common stock were no longer subject to forfeiture.</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Holders of the Class A common stock and holders of the Class F common stock of record are entitled to one vote for each share held on all matters to be voted on by stockholders, including any vote in connection with the initial Business Combination, and vote together as a single class, except as required by law.</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Class F common stock will automatically convert into Class A common stock at the time of the initial Business Combination, or earlier at the option of the holder, on a one-for-one basis, subject to increase in respect of the issuance of certain securities, as provided herein. In the case that additional shares of Class A common stock, or equity-linked securities (as described herein), are issued or deemed issued in excess of the amounts sold in the Initial Public Offering and related to the closing of the initial Business Combination, the ratio at which shares of Class F common stock shall convert into shares of Class A common stock will be adjusted (unless the holders of a majority of the outstanding shares of Class F common stock agree to waive such adjustment with respect to any such issuance or deemed issuance) so that the number of shares of Class A common stock issuable upon conversion of all shares of Class F common stock will equal, in the aggregate, 20% of the aggregate number of all shares of common stock outstanding upon the completion of the Initial Public Offering, plus the aggregate number of shares of Class A common stock and equity-linked securities issued or deemed issued in connection with the initial Business Combination (net of the number of shares of Class A common stock redeemed in connection with the initial Business Combination), excluding any shares or equity-linked securities issued, or to be issued, to any seller in the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8—Fair Value Measurements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as of June 30, 2021 and indicates the fair value hierarchy of the valuation techniques that the Company utilized to determine such fair value.</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10"/>
          </w:tcPr>
          <w:p>
            <w:pPr>
              <w:jc w:val="right"/>
              <w:ind w:right="655"/>
              <w:spacing w:after="0"/>
              <w:rPr>
                <w:sz w:val="20"/>
                <w:szCs w:val="20"/>
                <w:color w:val="auto"/>
              </w:rPr>
            </w:pPr>
            <w:r>
              <w:rPr>
                <w:rFonts w:ascii="Arial" w:cs="Arial" w:eastAsia="Arial" w:hAnsi="Arial"/>
                <w:sz w:val="14"/>
                <w:szCs w:val="14"/>
                <w:b w:val="1"/>
                <w:bCs w:val="1"/>
                <w:color w:val="auto"/>
              </w:rPr>
              <w:t>Fair Value Measured as of June 30, 2021</w:t>
            </w:r>
          </w:p>
        </w:tc>
      </w:tr>
      <w:tr>
        <w:trPr>
          <w:trHeight w:val="142"/>
        </w:trPr>
        <w:tc>
          <w:tcPr>
            <w:tcW w:w="47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700" w:type="dxa"/>
            <w:vAlign w:val="bottom"/>
          </w:tcPr>
          <w:p>
            <w:pPr>
              <w:ind w:left="100"/>
              <w:spacing w:after="0"/>
              <w:rPr>
                <w:sz w:val="20"/>
                <w:szCs w:val="20"/>
                <w:color w:val="auto"/>
              </w:rPr>
            </w:pPr>
            <w:r>
              <w:rPr>
                <w:rFonts w:ascii="Arial" w:cs="Arial" w:eastAsia="Arial" w:hAnsi="Arial"/>
                <w:sz w:val="18"/>
                <w:szCs w:val="18"/>
                <w:color w:val="auto"/>
                <w:w w:val="95"/>
              </w:rPr>
              <w:t>Investments held in Trust Account - U.S. Treasury securities</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287,507,970</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287,507,970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700" w:type="dxa"/>
            <w:vAlign w:val="bottom"/>
          </w:tcPr>
          <w:p>
            <w:pPr>
              <w:ind w:left="100"/>
              <w:spacing w:after="0"/>
              <w:rPr>
                <w:sz w:val="20"/>
                <w:szCs w:val="20"/>
                <w:color w:val="auto"/>
              </w:rPr>
            </w:pPr>
            <w:r>
              <w:rPr>
                <w:rFonts w:ascii="Arial" w:cs="Arial" w:eastAsia="Arial" w:hAnsi="Arial"/>
                <w:sz w:val="18"/>
                <w:szCs w:val="18"/>
                <w:color w:val="auto"/>
              </w:rPr>
              <w:t>Warrant liabilities - public warrants</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11,979,167</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11,979,167</w:t>
            </w:r>
          </w:p>
        </w:tc>
      </w:tr>
      <w:tr>
        <w:trPr>
          <w:trHeight w:val="216"/>
        </w:trPr>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 liabilities - private warrants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344,867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344,867</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 of December 31, 2020, there were no assets or liabilities that were measured at fair value on a recurring basis.</w:t>
      </w:r>
    </w:p>
    <w:p>
      <w:pPr>
        <w:spacing w:after="0" w:line="23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Transfers to/from Levels 1, 2, and 3 are recognized at the beginning of the reporting period. The estimated fair value of the Public Warrants transferred from a Level 3 measurement to a Level 1 fair value measurement in March 2021, when the Public Warrants were separately listed and traded.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Level 1 instruments include investments invested in government securities. The Company uses inputs such as actual trade data, benchmark yields, quoted market prices from dealers or brokers, and other similar sources to determine the fair value of its investments.</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fair value of public warrants issued in connection with the Initial Public Offering was initially measured using Binominal Lattice simulation and subsequently been measured at the market price of such warrants at each measurement date when separately listed and traded. The fair value of private warrants issued in connection with the Private Placement is estimated using modified Black-Scholes Option Pricing Model at each measurement date. For the three and six months ended June 30, 2021, the Company recognized an increase in the fair value of warrant liabilities of $3.6 million and $917,000 presented as change in fair value of derivative warrant liabilities on the accompanying unaudited condensed consolidated statements of operations.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change in the fair value of the Level 3 derivative warrant liabilities for the period for the three and six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2021 is summarized as follows:</w:t>
      </w:r>
    </w:p>
    <w:p>
      <w:pPr>
        <w:spacing w:after="0" w:line="239"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 at January 1, 2021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Arial" w:cs="Arial" w:eastAsia="Arial" w:hAnsi="Arial"/>
                <w:sz w:val="18"/>
                <w:szCs w:val="18"/>
                <w:color w:val="auto"/>
              </w:rPr>
              <w:t>Issuance of public and private warrants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11,407,475</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Public warrants transfer to Level 1</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(11,116,667)</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(63,958)</w:t>
            </w: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 at March 31, 2021</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226,850</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118,017</w:t>
            </w: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liabilities at June 30, 2021</w:t>
            </w: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344,867</w:t>
            </w: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estimated fair value of the Private Placement Warrants, and the Public Warrants prior to being separately listed and traded, is determined using Level 3 inputs. Inherent in a Binominal Lattice simulation and modified Black-Scholes Option Pricing model are assumptions related to expected stock-price volatility, expected life, risk-free interest rate and dividend yield. The Company estimates the volatility of its common stock warrants based on implied volatility from the Company’s traded warrants and from historical volatility of select peer company’s common stock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1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4"/>
              </w:rPr>
              <w:t>March 31, 2021</w:t>
            </w:r>
          </w:p>
        </w:tc>
        <w:tc>
          <w:tcPr>
            <w:tcW w:w="12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2"/>
              </w:rPr>
              <w:t>January 14, 2021</w:t>
            </w:r>
          </w:p>
        </w:tc>
      </w:tr>
      <w:tr>
        <w:trPr>
          <w:trHeight w:val="210"/>
        </w:trPr>
        <w:tc>
          <w:tcPr>
            <w:tcW w:w="20" w:type="dxa"/>
            <w:vAlign w:val="bottom"/>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Stock Price</w:t>
            </w:r>
          </w:p>
        </w:tc>
        <w:tc>
          <w:tcPr>
            <w:tcW w:w="13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9.86</w:t>
            </w:r>
          </w:p>
        </w:tc>
        <w:tc>
          <w:tcPr>
            <w:tcW w:w="140" w:type="dxa"/>
            <w:vAlign w:val="bottom"/>
          </w:tcPr>
          <w:p>
            <w:pPr>
              <w:spacing w:after="0"/>
              <w:rPr>
                <w:sz w:val="18"/>
                <w:szCs w:val="18"/>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9.69</w:t>
            </w:r>
          </w:p>
        </w:tc>
        <w:tc>
          <w:tcPr>
            <w:tcW w:w="140" w:type="dxa"/>
            <w:vAlign w:val="bottom"/>
          </w:tcPr>
          <w:p>
            <w:pPr>
              <w:spacing w:after="0"/>
              <w:rPr>
                <w:sz w:val="18"/>
                <w:szCs w:val="18"/>
                <w:color w:val="auto"/>
              </w:rPr>
            </w:pPr>
          </w:p>
        </w:tc>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Term (in years)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Volatility</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19.50 %</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15.70 %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18.00 %</w:t>
            </w: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0.93 %</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0.82 %</w:t>
            </w:r>
          </w:p>
        </w:tc>
      </w:tr>
      <w:tr>
        <w:trPr>
          <w:trHeight w:val="230"/>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Dividend yield</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9—Subsequent Events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August 3, 2021, the Company borrowed from the Sponsor the amount of $0.5 million under the Sponsor Loan Commitment, which amount remains outstanding.</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August 6, 2021, the Sponsor committed to provide to the Company an amount of up to $0.8 million in loans in order to finance the Company’s working capital needs (including transaction costs in connection with a Business Combination), which amount, together with the $1.6 million in loans that the Sponsor committed on May 27, 2021 for the same purpose, comprises an aggregate of up to $2.4 million of loans committed by the Sponsor to the Company. As described above, up to $1.5 million of the Sponsor Loan Commitment (in the aggregate with any other Working Capital Loans) may be convertible into units of the post-Business Combination entity at a price of $10.00 per unit at the option of the lender.</w:t>
      </w:r>
    </w:p>
    <w:p>
      <w:pPr>
        <w:spacing w:after="0" w:line="16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Management has evaluated subsequent events and transactions occurring through the date the financial statements were issued. Based upon this review, except as noted above, the Company did not identify any subsequent event that would have required adjustment or disclosure 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i w:val="1"/>
          <w:iCs w:val="1"/>
          <w:color w:val="auto"/>
        </w:rPr>
        <w:t>References to the “Company,” “890 5th Avenue Partners, Inc.,” “our,” “us” or “we” refer to 890 5th Avenue Partners, Inc. The following discussion and analysis of the Company’s financial condition and results of operations should be read in conjunction with the unaudited interim condensed financial statements and the notes thereto contained elsewhere in this report. Certain information contained in the discussion and analysis set forth below includes forward-looking statements that involve risks and uncertainties.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This Quarterly Report on Form 10-Q includes forward-looking statements within the meaning of Section 27A of the Securities Act and Section 21E of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 filings.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are a blank check company incorporated in Delaware on September 9, 2020. We were formed for the purpose of effecting a merger, capital stock exchange, asset acquisition, stock purchase, reorganization or similar business combination with one or more businesses (the “Business Combination”). We are an emerging growth company and, as such, the Company is subject to all of the risks associated with emerging growth companies.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Sponsor and Financing</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sponsor is 200 Park Avenue Partners, LLC, a Delaware limited liability company (the “Sponsor”). The registration statement for our Initial Public Offering was declared effective on January 11, 2021. On January 14, 2021, we consummated our Initial Public Offering of 28,750,000 units (the “Units” and, with respect to the Class A common stock included in the Units being offered, the “Public Shares”), including 3,750,000 additional Units to cover over-allotments (the “Over-Allotment Units”), at $10.00 per Unit, generating gross proceeds of $287.5 million, and incurring offering costs of approximately $6.2 million.</w:t>
      </w:r>
    </w:p>
    <w:p>
      <w:pPr>
        <w:spacing w:after="0" w:line="19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Simultaneously with the closing of the Initial Public Offering, we consummated the private placement (“Private Placement”) of 777,500 units (each, a “Private Placement Unit” and collectively, the “Private Placement Units”) at a price of $10.00 per Private Placement Unit to the Sponsor, PA 2 Co-Investment LLC (an affiliate of Cowen and Company, LLC, a representative of the underwriters), and Craig-Hallum Capital Group LLC (a representative of the underwriters) and its affiliate, generating proceeds of approximately $7.8 million, and incurring offering costs of approximately $12,000.</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Trust Account</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Upon the closing of the Initial Public Offering and the Private Placement, an aggregate of $287.5 million ($10.00 per Unit) of the net proceeds of the Initial Public Offering and certain of the proceeds of the Private Placement was held in a trust account (“Trust Account”) located in the United States with Continental Stock Transfer &amp; Trust Company acting as trustee, and invested only in U.S. “government securities” within the meaning of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Our management has broad discretion with respect to the specific application of the net proceeds of the Initial Public Offering and the sale of Private Placement Units, although substantially all of the net proceeds are intended to be applied generally toward consummating a Business Combination. There is no assurance that we will be able to complete a Business Combination successfully. We must complete one or more initial Business Combinations having an aggregate fair market value of at least 80% of the net assets held in the Trust Account (as defined below) (excluding taxes payable on the income earned on the trust account) at the time of signing a definitive agreement in connection with the initial Business Combination. However, we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w:t>
      </w:r>
    </w:p>
    <w:p>
      <w:pPr>
        <w:spacing w:after="0" w:line="16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If we are unable to complete a Business Combination within 24 months from the closing of the Initial Public Offering, or January 14, 2023 (the “Combination Period”), we will (i) cease all operations except for the purpose of winding up; (ii) as promptly as reasonably possible but not more than 10 business days thereafter, redeem the Public Shares, at a per share price, payable in cash, equal to the aggregate amount then on deposit in the Trust Account, including interest earned on the funds held in the Trust Account and not previously released to us to pay its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remaining stockholders and the board of directors, dissolve and liquidate, subject in each case to our obligations under Delaware law to provide for claims of creditors and the requirements of other applicable law.</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Proposed Business Combination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June 24, 2021, we entered into an Agreement and Plan of Merger (the “Merger Agreement”), by and among us, Bolt Merger Sub I, Inc., a Delaware corporation and a direct, wholly owned subsidiary of us (“Merger Sub I”), Bolt Merger Sub II, Inc., a Delaware corporation and a direct, wholly owned subsidiary of the us (“Merger Sub II”), and BuzzFeed, Inc., a Delaware corporation (“BuzzFeed”).</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Merger Agreement provides for, among other things, the following transactions at the closing: Merger Sub I will merge with and into BuzzFeed, with BuzzFeed as the surviving company in the merger and, after giving effect to such merger, continuing as a wholly owned subsidiary of the Company (the “Merger”). Immediately following the Merger, BuzzFeed will merge with and into Merger Sub II (the “Second Merger,” together with the Merger, the “Two-Step Merger”) with Merger Sub II being the surviving company of the Second Merger. The Two-Step Merger and the other transactions contemplated by the Merger Agreement are hereinafter referred to as the “Business Combination.”</w:t>
      </w:r>
    </w:p>
    <w:p>
      <w:pPr>
        <w:spacing w:after="0" w:line="178"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In accordance with the terms and subject to the conditions of the Merger Agreement, each share of Class A common stock of BuzzFeed, Class B common stock of BuzzFeed, Class C common stock of BuzzFeed and preferred stock of BuzzFeed, other than company restricted stock awards, excluded shares and dissenting shares shall be cancelled and automatically converted into a number of shares of Class A common stock of us equal to the quotient, rounded to the tenth decimal place, obtained by dividing 30,880,000 by the aggregate number of shares of BuzzFeed Series F Preferred Stock and BuzzFeed Series G Preferred Stock outstanding as of the effective time; (ii) each share of BuzzFeed Class A Common Stock and BuzzFeed Preferred Stock (other than BuzzFeed Series F Preferred Stock, BuzzFeed Series G Preferred Stock, company restricted stock awards, excluded shares and dissenting shares) shall be converted into the right to receive a number of shares of Class A Common Stock of us equal to the quotient of: (A) the remaining per share amount, divided by (B) $10.00; (iii) each share of BuzzFeed Class B Common Stock (other than excluded shares and dissenting shares) shall be converted into the right to receive a number of shares of Class B common stock of the Company equal to the quotient of:</w:t>
      </w:r>
    </w:p>
    <w:p>
      <w:pPr>
        <w:spacing w:after="0" w:line="4" w:lineRule="exact"/>
        <w:rPr>
          <w:sz w:val="20"/>
          <w:szCs w:val="20"/>
          <w:color w:val="auto"/>
        </w:rPr>
      </w:pPr>
    </w:p>
    <w:p>
      <w:pPr>
        <w:jc w:val="both"/>
        <w:ind w:left="60" w:right="59" w:hanging="10"/>
        <w:spacing w:after="0" w:line="277" w:lineRule="auto"/>
        <w:tabs>
          <w:tab w:leader="none" w:pos="37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remaining per share amount, divided by (B) $10.00; and (iv) each share of BuzzFeed Class C Common Stock (other than excluded shares and dissenting shares) shall be converted into the right to receive a number of shares of Class C common stock of us equal to the quotient of: (A) the remaining per share amount, divided by (B) $10.00.</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foregoing description of the Merger Agreement is subject to and qualified in its entirety by reference to the full text of the Merger Agreement, a copy of which is included as Exhibit 2.1 hereto, and the terms of which are incorporated herein by reference.</w:t>
      </w:r>
    </w:p>
    <w:p>
      <w:pPr>
        <w:spacing w:after="0" w:line="18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Concurrently with the execution of the Merger Agreement, the Company entered into a convertible note subscription agreement (the “Convertible Note Subscription Agreement”) with certain investors (the “Note Investors”), in respect of $150.0 million aggregate principal amount of unsecured convertible notes due in 2026 (the “Notes”) to be issued in connection with the closing of the Business Combination The principal terms of the Notes are set forth in the term sheet attached as an exhibit to the Convertible Note Subscription Agreement and will be embodied in an indenture to be entered into in connection with the closing of the Business Combination between BuzzFeed, the guarantors party thereto and the indenture trustee (the “Indenture”) and the form of global note attached thereto. The Notes will bear interest at a rate of 7.00% per annum, payable semi-annually (provided, however, that if there is less than $144.0 million in 890’s trust account immediately following the closing date of the transactions subject of the Convertible Note Subscription Agreement (the “Convertible Note Financing”), the stated interest rate shall be 8.50% per annum), will be convertible into approximately 12,000,000 shares of Class A common stock at an initial conversion price of the lesser of (x) $12.50 and (y) a 25% premium to the lowest per share price at which any equity of 890 is issued prior to the closing of the Business Combination in accordance with the terms thereof, and shall mature on the date that is five years following the closing of the Convertible Note Financing.</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foregoing description of the Convertible Note Subscription Agreement is subject to and qualified in its entirety by reference to the full text of the form of Convertible Note Subscription Agreement, a copy of which is included as Exhibit 10.1 hereto, and the terms of which are incorporated herein by reference.</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Refer to our Current Report on Form 8-K filed on June 24, 2021 with the Securities and Exchange Commission for additional information.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As of June 30, 2021, we had approximately $498,000 in cash and working capital deficit of approximately $453,000 (not taking into account approximately $100,000 of taxes that may be paid using interest income from the Trust Account).</w:t>
      </w:r>
    </w:p>
    <w:p>
      <w:pPr>
        <w:spacing w:after="0" w:line="12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liquidity needs prior to the consummation of the Initial Public Offering were satisfied through the cash proceeds of $25,000 from the sale of the Founder Shares, loan from the Sponsor of $300,000 under the Note, and advances from related party of approximately $13,000. We repaid the Note of $300,000 in full on January 14, 2021 and we reimbursed the advances from the related party in full in February 2021. Subsequent to the consummation of the Initial Public Offering, our liquidity needs have been satisfied through the net proceeds from the consummation of the Initial Public Offering and the Private Placement held outside of the Trust Account. In addition, in order to finance transaction costs in connection with a Business Combination, the Sponsor, members of our management team or any of their affiliates or other third parties, may, but are not obligated to (except as described below), provide the Company with Working Capital Loans. The Working Capital Loans will either be repaid upon consummation of a Business Combination, without interest, or, at the lender’s discretion, up to $1.5 million of such Working Capital Loans may be convertible into units of the post-Business Combination entity at a price of $10.00 per unit. The units would be identical to the Private Placement Units.</w:t>
      </w:r>
    </w:p>
    <w:p>
      <w:pPr>
        <w:spacing w:after="0" w:line="17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May 27, 2021, the Sponsor committed to provide to the Company an aggregate of up to $1.6 million in loans, and on August 6, 2021, the Sponsor committed to provide to the Company an additional amount of up to $0.8 million in loans for an aggregate of up to $2.4 million in loans, in each case in order to finance the Company’s working capital needs (including transaction costs in connection with a Business Combination) (the foregoing, the “Sponsor Loan Commitment”). As described above, up to $1.5 million of the Sponsor Loan Commitment (in the aggregate with any other Working Capital Loans) may be convertible into units of the post-Business Combination entity at a price of $10.00 per unit at the option of the lender. On August 3, 2021, the Company borrowed from the Sponsor the amount of $0.5 million under the Sponsor Loan Commitment, which amount remains outstanding.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Based on the foregoing, management believes that we will have sufficient working capital and borrowing capacity to meet its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9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Management continues to evaluate the impact of the COVID-19 pandemic and has concluded that the specific impact is not readily determinable as of the date of the unaudited condensed consolidated financial statements. The unaudited condensed consolidated financial statements do not include any adjustments that might result from the outcome of this uncertainty.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Our entire activity since inception up to June 30, 2021 was in preparation for our formation, the Initial Public Offering , the search for and evaluation and due diligence of potential targets for an initial business combination, and the negotiation and drafting of documentation for the Business Combination and Convertible Note Financing. We will not be generating any operating revenues until the closing and completion of our initial Business Combination.</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three months ended June 30, 2021, we had net loss of approximately $4.3 million, which consisted of approximately $628,000 in general and administrative expenses, $60,000 in related party administrative fee, approximately $50,000 in franchise tax expense and approximately $3.6 million in change in fair value of warrant liabilities, partially offset by approximately $4,000 of net gain from investments held in Trust Account.</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the six months ended June 30, 2021, we had net loss of approximately $3.3 million, which consisted of approximately $1.9 million in general and administrative expenses, $120,000 in related party administrative fee, approximately $100,000 in franchise tax expense, approximately $232,000 offering costs associated with issuance of public and private warrants and approximately $917,000 in change in fair value of warrant liabilities, partially offset by approximately $8,000 of net gain from investments held in Trust Account.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Registration Rights</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holders of Founder Shares, Private Placement Units and units that may be issued upon conversion of Working Capital Loans (and any Class A common stock issuable upon the exercise of the Private Placement Units and units that may be issued upon conversion of Working Capital Loans and upon conversion of the Founder Shares) are entitled to registration rights pursuant to a registration rights agreement signed upon the consummation of the Initial Public Offering. These holders are entitled to make up to certain demands, excluding short form demands, that we registered such securities. In addition, the holders have certain “piggy-back” registration rights with respect to registration statements filed subsequent to the completion of the initial Business Combination. We will bear the expenses incurred in connection with the filing of any such registration statements.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underwriters were entitled to an underwriting discount of $0.20 per unit, or approximately $5.8 million in the aggregate, paid upon the closing of the Initial Public Offering.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account for our Class A common stock subject to possible redemption in accordance with the guidance in ASC Topic 480 “Distinguishing Liabilities from Equity.” Class A common stock subject to mandatory redemption (if any) are classified as liability instruments and are measured at fair value. Conditionally redeemable Class A common stock (including shares of Class A common stock that feature redemption rights that are either within the control of the holder or subject to redemption upon the occurrence of uncertain events not solely within our control) are classified as temporary equity. At all other times, Class A common stock are classified as stockholders’ equity. Our Class A common stock feature certain redemption rights that are considered to be outside of our control and subject to occurrence of uncertain future events. Accordingly, at June 30, 2021, 26,963,158 shares of Class A common stock subject to possible redemption at the redemption amount were presented at redemption value as temporary equity, outside of the stockholders’ equity section of our balance sheet.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Income (Loss) per Share of Common Stock</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comply with accounting and disclosure requirements of FASB ASC Topic 260, “Earnings Per Share.” Net income (loss) per share of common stock is computed by dividing net income (loss) by the weighted average number of shares of common stock outstanding during the period. The calculation of diluted net income (loss) per share of common stock does not consider the effect of the warrants issued in connection with the Initial Public Offering and Private Placement since the exercise price of the warrants is in excess of the average stock price for the period and therefore the inclusion of such warrants would be anti-dilutive.</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consolidated statements of operations includes a presentation of income (loss) per share of common stock for Class A common stock subject to possible redemption in a manner similar to the two-class method of income (loss) per share of common stock. Net income per common share, basic and diluted, for Class A common stock subject to possible redemption is calculated by dividing the proportionate share of interest income from investments held in the Trust Account, net of applicable franchise and income taxes, by the weighted average number of shares of Class A common stock subject to possible redemption outstanding since original issuance.</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Net loss per share of common stock, basic and diluted, for non-redeemable common stock is calculated by dividing the net loss, less income attributable to Class A common stock, by the weighted average number of non-redeemable common stock outstanding for the period.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Non-redeemable common stock includes Founder Shares and non-redeemable shares of Class A common stock as these shares do not have any redemption features. Non-redeemable common stock participates in the income or loss on marketable securities based on non-redeemable shares’ proportionate interest.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warrant liabilities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do not use derivative instruments to hedge exposures to cash flow, market, or foreign currency risks. We evaluate all of its financial instruments, including issued stock purchase warrants, to determine if such instruments are derivatives or contain features that qualify as embedded derivatives, pursuant to ASC 480 and ASC Topic 815, “Derivatives and Hedging” (“ASC 815”). The classification of derivative instruments, including whether such instruments should be recorded as liabilities or as equity, is re-assessed at the end of each reporting period.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account for our warrants issued in connection with its Initial Public Offering and Private Placement recognized as derivative liabilities in accordance with ASC 815. Accordingly, we recognize the warrant instruments as liabilities at fair value and adjusts the instruments to fair value at each reporting period. The liabilities are subject to re-measurement at each balance sheet date until exercised, and any change in fair value is recognized in the Company’s statement of operations. The fair value of warrants issued in connection with the Initial Public Offering was initially measured using Binominal Lattice simulation and subsequently been measured on the market price of such warrants at each measurement date when separately listed and traded. The fair value of warrants issued in connection with the Private Placement has been estimated using modified Black-Scholes Option Pricing Model at each measurement date.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Debt—Debt with Conversion and Other Options (Subtopic 470-20)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Derivatives and Hedging— Contracts in Entity’s Own Equity (Subtopic 815-40): Accounting for Convertible Instruments and Contracts in an Entity’s Own Equity </w:t>
      </w:r>
      <w:r>
        <w:rPr>
          <w:rFonts w:ascii="Arial" w:cs="Arial" w:eastAsia="Arial" w:hAnsi="Arial"/>
          <w:sz w:val="17"/>
          <w:szCs w:val="17"/>
          <w:color w:val="auto"/>
        </w:rPr>
        <w:t>(“ASU 2020-06”), which simplifies accounting for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management does not believe that any other recently issued, but not yet effective, accounting pronouncements, if currently adopted, would have a material impact on our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June 30, 2021, we did not have any off-balance sheet arrangements as defined in Item 303(a)(4)(ii) of Regulation S-K.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16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 As of June 30, 2021, we were not subject to any market or interest rate risk. The net proceeds of the Initial Public Offering, including amounts in the Trust Account, will be invested in U.S. government securities with a maturity of 185 days or less or in money market funds that meet certain conditions under Rule 2a-7 under the Investment Company Act of 1940, as amended, that invest only in direct U.S. government treasury obligations. Due to the short-term nature of these investments, we believe there will be no associated material exposure to interest rate risk.</w:t>
      </w:r>
    </w:p>
    <w:p>
      <w:pPr>
        <w:spacing w:after="0" w:line="19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have not engaged in any hedging activities since our inception and we do not expect to engage in any hedging activities with respect to the market risk to which we are exposed.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and accounting officer (our “Certifying Officers”), we conducted an evaluation of the effectiveness of our disclosure controls and procedures as of the end of the fiscal quarter ended June 30, 2021, as such term is defined in Rules 13a-15(e) and 15d-15(e) under the Exchange Act. Based upon that evaluation, solely due to the previously reported material weakness in our internal control over financial reporting related to our classification of the public and private warrants as components of equity instead of derivative liabilities, we concluded that our disclosure controls and procedures were not effective as of June 30, 2021. The material weakness was identified and discussed in Part I, Item 4 of our Form 10-Q for the period ended March 31, 2021.</w:t>
      </w:r>
    </w:p>
    <w:p>
      <w:pPr>
        <w:spacing w:after="0" w:line="19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Notwithstanding the identified material weakness as of March 31, 2021, management, including the Certifying Officers, believe that the condensed financial statements contained in this Form 10-Q filing fairly present, in all material respects, our financial condition, results of operations and cash flows for the fiscal period presented in conformity with GAAP.</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ended June 30, 2021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As of the date of this Quarterly Report on Form 10-Q, there have been no material changes to the risk factors disclosed in our final prospectus filed with the SEC on January 13, 2021, except for the below risk factors. We may disclose changes to such factors or disclose additional factors from time to time in our future filings with the SEC.</w:t>
      </w:r>
    </w:p>
    <w:p>
      <w:pPr>
        <w:spacing w:after="0" w:line="16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shareholders are entitled to receive their pro-rata share of the proceeds held in the trust account, plus any interest income, net of income taxes paid or payable (less, in the case we are unable to complete our initial business combination, $100,000 of interest to pay dissolution expenses). Negative interest rates could reduce the value of the assets held in trust such that the per-share redemption amount received by public shareholders may be less than $10.00 per share.</w:t>
      </w:r>
    </w:p>
    <w:p>
      <w:pPr>
        <w:spacing w:after="0" w:line="17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warrants are accounted for as liabilities and the changes in value of our warrants could have a material effect on our financial results.</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(the “SEC Staff Statement”). Specifically, the SEC Staff Statement focused on certain settlement terms and provisions related to certain tender offers following a business combination, which terms are similar to those contained in the warrant agreement governing our warrants.</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As a result, included on our balance sheet as of June 30, 2021 contained in our Form 10-Q are derivative liabilities related to embedded features contained within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statements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b w:val="1"/>
          <w:bCs w:val="1"/>
          <w:i w:val="1"/>
          <w:iCs w:val="1"/>
          <w:color w:val="auto"/>
        </w:rPr>
        <w:t>Warrants that are accounted for as a warrant liability will be recorded at fair value upon issuance with changes in fair value each period reported in earnings, which may have an adverse effect on the market price of our common stock and/or may make it more difficult for us to consummate an initial business combination.</w:t>
      </w:r>
    </w:p>
    <w:p>
      <w:pPr>
        <w:spacing w:after="0" w:line="14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account for the 9,842,500 warrants issued in connection with the initial public offering (including the 9,583,333 warrants sold as part of the units in the initial public offering and the 259,167 private placement warrants underlying the private placement units) in accordance with the guidance contained in Derivatives and Hedging — Contracts in Entity’s Own Equity (ASC 815-40). Such guidance provides that because the warrants do not meet the criteria for equity treatment thereunder, each warrant must be recorded as a liability. Accordingly, we will classify each warrant as a liability at its fair value. This liability is subject to re-measurement at each balance sheet date. With each such remeasurement, the warrant liability will be adjusted to fair value, with the change in fair value recognized in our statement of operations and therefore our reported earnings. The impact of changes in fair value on earnings may have an adverse effect on the market price of our common stock. In addition, potential targets may seek a special purposes acquisition company (SPAC) that does not have warrants that are accounted for as a warrant liability, which may make it more difficult for us to consummate an initial business combination with a target business.</w:t>
      </w:r>
    </w:p>
    <w:p>
      <w:pPr>
        <w:spacing w:after="0" w:line="18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as of March 31, 2021. If we are unable to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8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Following the issuance of the SEC Staff Statement, our management concluded that, in light of the SEC Staff Statement, our audited balance sheet as of January 14, 2021 should be revised. In connection with the foregoing development and solely as the result of such revision, we identified a material weakness in our internal controls over financial reporting.</w:t>
      </w:r>
    </w:p>
    <w:p>
      <w:pPr>
        <w:spacing w:after="0" w:line="14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We continue to evaluate steps to remediate the material weakness. These remediation measures may be time consuming and costly and there is no assurance that these initiatives will ultimately have the intended effects.</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pacing w:after="0" w:line="19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For risk factors related to BuzzFeed and the Business Combination, please review the Registration Statement on Form S-4 that the Company filed with the SEC on July 30, 2021, including the preliminary proxy statement/prospectus of the Company included therein, any amendments thereto to be filed by the Company, and the definitive proxy statement/prospectus to be filed by the Company.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777,500 units (each, a “Private Placement Unit” and collectively, the “Private Placement Units”) at a price of $10.00 per Private Placement Unit to the Sponsor, PA 2 Co-Investment LLC (an affiliate of Cowen and Company, LLC, a representative of the underwriters), and Craig-Hallum Capital Group LLC (a representative of the underwriters) and its affiliate, generating proceeds of approximately $7.8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connection with the Initial Public Offering, our sponsor had agreed to loan us an aggregate of up to $300,000 pursuant to the Note. This loan is non-interest bearing and payable on the consummation of the Initial Public Offering. The Company repaid the Note in full on January 14, 2021.</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Upon the closing of the Initial Public Offering and the Private Placement, $287.5 million in the aggregate of net proceeds of the Initial Public Offering and certain of a portion of the proceeds of the Private Placement were placed in the Trust Account and invested in U.S. government treasury bills with a maturity of 185 days or less and in money market funds meeting certain conditions under Rule 2a-7 under the Investment Company Act which invest only in direct U.S. government treasury obligations.</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paid a total of approximately $6.2 million in underwriting discounts and commissions and offering costs related to the Initial Public Offering.</w:t>
      </w:r>
    </w:p>
    <w:p>
      <w:pPr>
        <w:spacing w:after="0" w:line="17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On June 24, 2021, concurrently with the execution of the Merger Agreement, the Company entered into a convertible note subscription agreement (the “Convertible Note Subscription Agreement”) with certain investors (the “Note Investors”), in respect of $150.0 million aggregate principal amount of unsecured convertible notes due in 2026 (the “Notes”) to be issued in connection with the closing of the Business Combination The principal terms of the Notes are set forth in the term sheet attached as an exhibit to the Convertible Note Subscription Agreement and will be embodied in an indenture to be entered into in connection with the closing of the Business Combination between BuzzFeed, the guarantors party thereto and the indenture trustee (the “Indenture”) and the form of global note attached thereto. The Notes will bear interest at a rate of 7.00% per annum, payable semi-annually (provided, however, that if there is less than $144.0 million in 890’s trust account immediately following the closing date of the transactions subject of the Convertible Note Subscription Agreement (the “Convertible Note Financing”), the stated interest rate shall be 8.50% per annum), will be convertible into approximately 12,000,000 shares of Class A common stock at an initial conversion price of the lesser of (x) $12.50 and (y) a 25% premium to the lowest per share price at which any equity of 890 is issued prior to the closing of the Business Combination in accordance with the terms thereof, and shall mature on the date that is five years following the closing of the Convertible Note Financing. The securities that may be issued in connection with the Convertible Note Subscription Agreement will not be immediately registered under the Securities Act, in reliance on the exemption from registration provided by Section 4(a)(2) of the Securities Act and/or Regulation D promulgated thereunder.</w:t>
      </w:r>
    </w:p>
    <w:p>
      <w:pPr>
        <w:spacing w:after="0" w:line="1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foregoing description of the Convertible Note Subscription Agreement is subject to and qualified in its entirety by reference to the full text of the form of Convertible Note Subscription Agreement, a copy of which is included as Exhibit 10.1 hereto, and the terms of which are incorporated herein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7860" w:type="dxa"/>
            <w:vAlign w:val="bottom"/>
            <w:gridSpan w:val="24"/>
          </w:tcPr>
          <w:p>
            <w:pPr>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840" w:type="dxa"/>
            <w:vAlign w:val="bottom"/>
            <w:tcBorders>
              <w:top w:val="single" w:sz="8" w:color="auto"/>
            </w:tcBorders>
          </w:tcPr>
          <w:p>
            <w:pPr>
              <w:ind w:left="20"/>
              <w:spacing w:after="0" w:line="176"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5"/>
                <w:szCs w:val="15"/>
                <w:color w:val="auto"/>
              </w:rPr>
            </w:pPr>
          </w:p>
        </w:tc>
        <w:tc>
          <w:tcPr>
            <w:tcW w:w="7780" w:type="dxa"/>
            <w:vAlign w:val="bottom"/>
            <w:tcBorders>
              <w:top w:val="single" w:sz="8" w:color="auto"/>
              <w:bottom w:val="single" w:sz="8" w:color="0000EE"/>
            </w:tcBorders>
            <w:gridSpan w:val="22"/>
          </w:tcPr>
          <w:p>
            <w:pPr>
              <w:spacing w:after="0" w:line="17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Agreement and Plan of Merger, dated as of June 24, 2021, by and among the Registrant, Bolt Merger Sub I,</w:t>
              </w:r>
            </w:hyperlink>
          </w:p>
        </w:tc>
        <w:tc>
          <w:tcPr>
            <w:tcW w:w="80" w:type="dxa"/>
            <w:vAlign w:val="bottom"/>
            <w:tcBorders>
              <w:top w:val="single" w:sz="8" w:color="auto"/>
            </w:tcBorders>
            <w:gridSpan w:val="2"/>
          </w:tcPr>
          <w:p>
            <w:pPr>
              <w:spacing w:after="0"/>
              <w:rPr>
                <w:sz w:val="15"/>
                <w:szCs w:val="15"/>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60" w:type="dxa"/>
            <w:vAlign w:val="bottom"/>
            <w:gridSpan w:val="24"/>
          </w:tcPr>
          <w:p>
            <w:pPr>
              <w:spacing w:after="0" w:line="196" w:lineRule="exact"/>
              <w:rPr>
                <w:rFonts w:ascii="Arial" w:cs="Arial" w:eastAsia="Arial" w:hAnsi="Arial"/>
                <w:sz w:val="18"/>
                <w:szCs w:val="18"/>
                <w:color w:val="0000EE"/>
                <w:w w:val="96"/>
              </w:rPr>
            </w:pPr>
            <w:hyperlink r:id="rId68">
              <w:r>
                <w:rPr>
                  <w:rFonts w:ascii="Arial" w:cs="Arial" w:eastAsia="Arial" w:hAnsi="Arial"/>
                  <w:sz w:val="18"/>
                  <w:szCs w:val="18"/>
                  <w:color w:val="0000EE"/>
                  <w:w w:val="96"/>
                </w:rPr>
                <w:t>Inc., Bolt Merger Sub II, Inc., and BuzzFeed, Inc. (incorporated by reference to Exhibit 2.1 of Form 8-K</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filed by the Registrant with the SEC on June 24, 2021).</w:t>
              </w:r>
            </w:hyperlink>
          </w:p>
        </w:tc>
        <w:tc>
          <w:tcPr>
            <w:tcW w:w="3520" w:type="dxa"/>
            <w:vAlign w:val="bottom"/>
            <w:tcBorders>
              <w:top w:val="single" w:sz="8" w:color="0000EE"/>
            </w:tcBorders>
            <w:gridSpan w:val="8"/>
          </w:tcPr>
          <w:p>
            <w:pPr>
              <w:spacing w:after="0"/>
              <w:rPr>
                <w:sz w:val="17"/>
                <w:szCs w:val="17"/>
                <w:color w:val="auto"/>
              </w:rPr>
            </w:pPr>
          </w:p>
        </w:tc>
        <w:tc>
          <w:tcPr>
            <w:tcW w:w="340" w:type="dxa"/>
            <w:vAlign w:val="bottom"/>
            <w:gridSpan w:val="9"/>
          </w:tcPr>
          <w:p>
            <w:pPr>
              <w:spacing w:after="0"/>
              <w:rPr>
                <w:sz w:val="17"/>
                <w:szCs w:val="17"/>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4.1</w:t>
            </w:r>
          </w:p>
        </w:tc>
        <w:tc>
          <w:tcPr>
            <w:tcW w:w="200" w:type="dxa"/>
            <w:vAlign w:val="bottom"/>
          </w:tcPr>
          <w:p>
            <w:pPr>
              <w:spacing w:after="0"/>
              <w:rPr>
                <w:sz w:val="17"/>
                <w:szCs w:val="17"/>
                <w:color w:val="auto"/>
              </w:rPr>
            </w:pPr>
          </w:p>
        </w:tc>
        <w:tc>
          <w:tcPr>
            <w:tcW w:w="7860" w:type="dxa"/>
            <w:vAlign w:val="bottom"/>
            <w:gridSpan w:val="24"/>
          </w:tcPr>
          <w:p>
            <w:pPr>
              <w:spacing w:after="0" w:line="196" w:lineRule="exact"/>
              <w:rPr>
                <w:rFonts w:ascii="Arial" w:cs="Arial" w:eastAsia="Arial" w:hAnsi="Arial"/>
                <w:sz w:val="18"/>
                <w:szCs w:val="18"/>
                <w:color w:val="0000EE"/>
                <w:w w:val="96"/>
              </w:rPr>
            </w:pPr>
            <w:hyperlink r:id="rId69">
              <w:r>
                <w:rPr>
                  <w:rFonts w:ascii="Arial" w:cs="Arial" w:eastAsia="Arial" w:hAnsi="Arial"/>
                  <w:sz w:val="18"/>
                  <w:szCs w:val="18"/>
                  <w:color w:val="0000EE"/>
                  <w:w w:val="96"/>
                </w:rPr>
                <w:t>Form of Voting Agreement (incorporated by reference to Exhibit 4.1 of Form 8-K filed by the Registrant</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with the SEC on June 24, 2021).</w:t>
              </w:r>
            </w:hyperlink>
          </w:p>
        </w:tc>
        <w:tc>
          <w:tcPr>
            <w:tcW w:w="320" w:type="dxa"/>
            <w:vAlign w:val="bottom"/>
            <w:gridSpan w:val="8"/>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4.2</w:t>
            </w:r>
          </w:p>
        </w:tc>
        <w:tc>
          <w:tcPr>
            <w:tcW w:w="200" w:type="dxa"/>
            <w:vAlign w:val="bottom"/>
          </w:tcPr>
          <w:p>
            <w:pPr>
              <w:spacing w:after="0"/>
              <w:rPr>
                <w:sz w:val="17"/>
                <w:szCs w:val="17"/>
                <w:color w:val="auto"/>
              </w:rPr>
            </w:pPr>
          </w:p>
        </w:tc>
        <w:tc>
          <w:tcPr>
            <w:tcW w:w="71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Amendment No. 1 of Registration Rights Agreement, dated as of June 24, 2021, by and among the</w:t>
              </w:r>
            </w:hyperlink>
          </w:p>
        </w:tc>
        <w:tc>
          <w:tcPr>
            <w:tcW w:w="740" w:type="dxa"/>
            <w:vAlign w:val="bottom"/>
            <w:gridSpan w:val="13"/>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Registrant, 200 Park Avenue Partners, LLC, PA 2 Co-Investment LLC and Craig-Hallum Capital Group</w:t>
              </w:r>
            </w:hyperlink>
          </w:p>
        </w:tc>
        <w:tc>
          <w:tcPr>
            <w:tcW w:w="360" w:type="dxa"/>
            <w:vAlign w:val="bottom"/>
            <w:gridSpan w:val="10"/>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60" w:type="dxa"/>
            <w:vAlign w:val="bottom"/>
            <w:gridSpan w:val="24"/>
          </w:tcPr>
          <w:p>
            <w:pPr>
              <w:spacing w:after="0" w:line="19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LLC (incorporated by reference to Exhibit 4.2 of Form 8-K filed by the Registrant with the SEC on June 24,</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2021).</w:t>
              </w:r>
            </w:hyperlink>
          </w:p>
        </w:tc>
        <w:tc>
          <w:tcPr>
            <w:tcW w:w="1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4.3</w:t>
            </w:r>
          </w:p>
        </w:tc>
        <w:tc>
          <w:tcPr>
            <w:tcW w:w="200" w:type="dxa"/>
            <w:vAlign w:val="bottom"/>
          </w:tcPr>
          <w:p>
            <w:pPr>
              <w:spacing w:after="0"/>
              <w:rPr>
                <w:sz w:val="17"/>
                <w:szCs w:val="17"/>
                <w:color w:val="auto"/>
              </w:rPr>
            </w:pPr>
          </w:p>
        </w:tc>
        <w:tc>
          <w:tcPr>
            <w:tcW w:w="77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Form of Amended and Restated Registration Rights Agreement (incorporated by reference to Exhibit 4.3 of</w:t>
              </w:r>
            </w:hyperlink>
          </w:p>
        </w:tc>
        <w:tc>
          <w:tcPr>
            <w:tcW w:w="80" w:type="dxa"/>
            <w:vAlign w:val="bottom"/>
            <w:gridSpan w:val="2"/>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Form 8-K filed by the Registrant with the SEC on June 24, 2021).</w:t>
              </w:r>
            </w:hyperlink>
          </w:p>
        </w:tc>
        <w:tc>
          <w:tcPr>
            <w:tcW w:w="3100" w:type="dxa"/>
            <w:vAlign w:val="bottom"/>
            <w:gridSpan w:val="16"/>
          </w:tcPr>
          <w:p>
            <w:pPr>
              <w:spacing w:after="0"/>
              <w:rPr>
                <w:sz w:val="17"/>
                <w:szCs w:val="17"/>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77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Form of Convertible Note Subscription Agreement (incorporated by reference to Exhibit 10.1 of Form 8-K</w:t>
              </w:r>
            </w:hyperlink>
          </w:p>
        </w:tc>
        <w:tc>
          <w:tcPr>
            <w:tcW w:w="140" w:type="dxa"/>
            <w:vAlign w:val="bottom"/>
            <w:gridSpan w:val="5"/>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filed by the Registrant with the SEC on June 24, 2021).</w:t>
              </w:r>
            </w:hyperlink>
          </w:p>
        </w:tc>
        <w:tc>
          <w:tcPr>
            <w:tcW w:w="3860" w:type="dxa"/>
            <w:vAlign w:val="bottom"/>
            <w:gridSpan w:val="17"/>
          </w:tcPr>
          <w:p>
            <w:pPr>
              <w:spacing w:after="0"/>
              <w:rPr>
                <w:sz w:val="17"/>
                <w:szCs w:val="17"/>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10.2</w:t>
            </w:r>
          </w:p>
        </w:tc>
        <w:tc>
          <w:tcPr>
            <w:tcW w:w="200" w:type="dxa"/>
            <w:vAlign w:val="bottom"/>
          </w:tcPr>
          <w:p>
            <w:pPr>
              <w:spacing w:after="0"/>
              <w:rPr>
                <w:sz w:val="17"/>
                <w:szCs w:val="17"/>
                <w:color w:val="auto"/>
              </w:rPr>
            </w:pPr>
          </w:p>
        </w:tc>
        <w:tc>
          <w:tcPr>
            <w:tcW w:w="77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Sponsor Support Agreement, dated as of June 24, 2021, by and among 200 Park Avenue Partners, LLC, the</w:t>
              </w:r>
            </w:hyperlink>
          </w:p>
        </w:tc>
        <w:tc>
          <w:tcPr>
            <w:tcW w:w="120" w:type="dxa"/>
            <w:vAlign w:val="bottom"/>
            <w:gridSpan w:val="4"/>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Registrant and BuzzFeed, Inc. (incorporated by reference to Exhibit 10.2 of Form 8-K filed by the Registrant</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60" w:type="dxa"/>
            <w:vAlign w:val="bottom"/>
            <w:gridSpan w:val="24"/>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with the SEC on June 24, 2021).</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10.3</w:t>
            </w:r>
          </w:p>
        </w:tc>
        <w:tc>
          <w:tcPr>
            <w:tcW w:w="200" w:type="dxa"/>
            <w:vAlign w:val="bottom"/>
          </w:tcPr>
          <w:p>
            <w:pPr>
              <w:spacing w:after="0"/>
              <w:rPr>
                <w:sz w:val="17"/>
                <w:szCs w:val="17"/>
                <w:color w:val="auto"/>
              </w:rPr>
            </w:pPr>
          </w:p>
        </w:tc>
        <w:tc>
          <w:tcPr>
            <w:tcW w:w="786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73">
              <w:r>
                <w:rPr>
                  <w:rFonts w:ascii="Arial" w:cs="Arial" w:eastAsia="Arial" w:hAnsi="Arial"/>
                  <w:sz w:val="18"/>
                  <w:szCs w:val="18"/>
                  <w:color w:val="0000EE"/>
                  <w:w w:val="92"/>
                </w:rPr>
                <w:t>Form of Stockholder Support Agreement (incorporated by reference to Exhibit 10.3 of Form 8-K filed by the</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60" w:type="dxa"/>
            <w:vAlign w:val="bottom"/>
            <w:gridSpan w:val="24"/>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Registrant with the SEC on June 24, 2021).</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10.4</w:t>
            </w:r>
          </w:p>
        </w:tc>
        <w:tc>
          <w:tcPr>
            <w:tcW w:w="200" w:type="dxa"/>
            <w:vAlign w:val="bottom"/>
          </w:tcPr>
          <w:p>
            <w:pPr>
              <w:spacing w:after="0"/>
              <w:rPr>
                <w:sz w:val="17"/>
                <w:szCs w:val="17"/>
                <w:color w:val="auto"/>
              </w:rPr>
            </w:pPr>
          </w:p>
        </w:tc>
        <w:tc>
          <w:tcPr>
            <w:tcW w:w="7860" w:type="dxa"/>
            <w:vAlign w:val="bottom"/>
            <w:gridSpan w:val="24"/>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Loan Commitment Letter, dated August 6, 2021, from 200 Park Avenue Partners, LLC, the Registrant’s</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Sponsor, to the Registrant.</w:t>
              </w:r>
            </w:hyperlink>
          </w:p>
        </w:tc>
        <w:tc>
          <w:tcPr>
            <w:tcW w:w="5540" w:type="dxa"/>
            <w:vAlign w:val="bottom"/>
            <w:tcBorders>
              <w:top w:val="single" w:sz="8" w:color="0000EE"/>
            </w:tcBorders>
            <w:gridSpan w:val="11"/>
          </w:tcPr>
          <w:p>
            <w:pPr>
              <w:spacing w:after="0"/>
              <w:rPr>
                <w:sz w:val="17"/>
                <w:szCs w:val="17"/>
                <w:color w:val="auto"/>
              </w:rPr>
            </w:pPr>
          </w:p>
        </w:tc>
        <w:tc>
          <w:tcPr>
            <w:tcW w:w="400" w:type="dxa"/>
            <w:vAlign w:val="bottom"/>
            <w:gridSpan w:val="11"/>
          </w:tcPr>
          <w:p>
            <w:pPr>
              <w:spacing w:after="0"/>
              <w:rPr>
                <w:sz w:val="17"/>
                <w:szCs w:val="17"/>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7"/>
                <w:szCs w:val="17"/>
                <w:color w:val="auto"/>
              </w:rPr>
            </w:pPr>
          </w:p>
        </w:tc>
        <w:tc>
          <w:tcPr>
            <w:tcW w:w="7860" w:type="dxa"/>
            <w:vAlign w:val="bottom"/>
            <w:gridSpan w:val="24"/>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Certification of Chairman and Co-Chief Executive Officer (Principal Executive Officer) Pursuant to Rules</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13a-14(a) and 15d-14(a) under the Securities Exchange Act of 1934, as Adopted Pursuant to Section 302 of</w:t>
              </w:r>
            </w:hyperlink>
          </w:p>
        </w:tc>
        <w:tc>
          <w:tcPr>
            <w:tcW w:w="100" w:type="dxa"/>
            <w:vAlign w:val="bottom"/>
            <w:gridSpan w:val="3"/>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60" w:type="dxa"/>
            <w:vAlign w:val="bottom"/>
            <w:gridSpan w:val="2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the Sarbanes-Oxley Act of 2002.</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200" w:type="dxa"/>
            <w:vAlign w:val="bottom"/>
          </w:tcPr>
          <w:p>
            <w:pPr>
              <w:spacing w:after="0"/>
              <w:rPr>
                <w:sz w:val="17"/>
                <w:szCs w:val="17"/>
                <w:color w:val="auto"/>
              </w:rPr>
            </w:pPr>
          </w:p>
        </w:tc>
        <w:tc>
          <w:tcPr>
            <w:tcW w:w="7860" w:type="dxa"/>
            <w:vAlign w:val="bottom"/>
            <w:gridSpan w:val="24"/>
          </w:tcPr>
          <w:p>
            <w:pPr>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Certification of Chief Financial Officer (Principal Financial and Accounting Officer) Pursuant to Rules 13a-</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Borders>
              <w:top w:val="single" w:sz="8" w:color="0000EE"/>
            </w:tcBorders>
            <w:gridSpan w:val="22"/>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14(a) and 15d-14(a) under the Securities Exchange Act of 1934, as Adopted Pursuant to Section 302 of the</w:t>
              </w:r>
            </w:hyperlink>
          </w:p>
        </w:tc>
        <w:tc>
          <w:tcPr>
            <w:tcW w:w="80" w:type="dxa"/>
            <w:vAlign w:val="bottom"/>
            <w:gridSpan w:val="2"/>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Sarbanes-Oxley Act of 2002.</w:t>
              </w:r>
            </w:hyperlink>
          </w:p>
        </w:tc>
        <w:tc>
          <w:tcPr>
            <w:tcW w:w="160" w:type="dxa"/>
            <w:vAlign w:val="bottom"/>
            <w:gridSpan w:val="6"/>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200" w:type="dxa"/>
            <w:vAlign w:val="bottom"/>
          </w:tcPr>
          <w:p>
            <w:pPr>
              <w:spacing w:after="0"/>
              <w:rPr>
                <w:sz w:val="17"/>
                <w:szCs w:val="17"/>
                <w:color w:val="auto"/>
              </w:rPr>
            </w:pPr>
          </w:p>
        </w:tc>
        <w:tc>
          <w:tcPr>
            <w:tcW w:w="74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Certification of Chairman and Co-Chief Executive Officer (Principal Executive Officer) Pursuant to 18</w:t>
              </w:r>
            </w:hyperlink>
          </w:p>
        </w:tc>
        <w:tc>
          <w:tcPr>
            <w:tcW w:w="420" w:type="dxa"/>
            <w:vAlign w:val="bottom"/>
            <w:gridSpan w:val="12"/>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60" w:type="dxa"/>
            <w:vAlign w:val="bottom"/>
            <w:gridSpan w:val="2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U.S.C. Section 1350, as Adopted Pursuant to Section 906 of the Sarbanes-Oxley Act of 2002.</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20" w:type="dxa"/>
            <w:vAlign w:val="bottom"/>
            <w:gridSpan w:val="9"/>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32.2*</w:t>
            </w:r>
          </w:p>
        </w:tc>
        <w:tc>
          <w:tcPr>
            <w:tcW w:w="200" w:type="dxa"/>
            <w:vAlign w:val="bottom"/>
          </w:tcPr>
          <w:p>
            <w:pPr>
              <w:spacing w:after="0"/>
              <w:rPr>
                <w:sz w:val="17"/>
                <w:szCs w:val="17"/>
                <w:color w:val="auto"/>
              </w:rPr>
            </w:pPr>
          </w:p>
        </w:tc>
        <w:tc>
          <w:tcPr>
            <w:tcW w:w="7860" w:type="dxa"/>
            <w:vAlign w:val="bottom"/>
            <w:gridSpan w:val="24"/>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Certification of Chief Financial Officer (Principal Financial and Accounting Officer) Pursuant to 18 U.S.C.</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Section 1350, as Adopted Pursuant to Section 906 of the Sarbanes-Oxley Act of 2002.</w:t>
              </w:r>
            </w:hyperlink>
          </w:p>
        </w:tc>
        <w:tc>
          <w:tcPr>
            <w:tcW w:w="1500" w:type="dxa"/>
            <w:vAlign w:val="bottom"/>
            <w:tcBorders>
              <w:top w:val="single" w:sz="8" w:color="0000EE"/>
            </w:tcBorders>
            <w:gridSpan w:val="10"/>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222"/>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7860" w:type="dxa"/>
            <w:vAlign w:val="bottom"/>
            <w:gridSpan w:val="24"/>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7860" w:type="dxa"/>
            <w:vAlign w:val="bottom"/>
            <w:gridSpan w:val="2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7860" w:type="dxa"/>
            <w:vAlign w:val="bottom"/>
            <w:gridSpan w:val="2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7860" w:type="dxa"/>
            <w:vAlign w:val="bottom"/>
            <w:gridSpan w:val="2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7860" w:type="dxa"/>
            <w:vAlign w:val="bottom"/>
            <w:gridSpan w:val="2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7860" w:type="dxa"/>
            <w:vAlign w:val="bottom"/>
            <w:gridSpan w:val="2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80" w:hanging="330"/>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Certain of the exhibits and schedules to this exhibit have been omitted in accordance with Regulation S-K Item 601(b)</w:t>
      </w:r>
    </w:p>
    <w:p>
      <w:pPr>
        <w:spacing w:after="0" w:line="46" w:lineRule="exact"/>
        <w:rPr>
          <w:rFonts w:ascii="Arial" w:cs="Arial" w:eastAsia="Arial" w:hAnsi="Arial"/>
          <w:sz w:val="16"/>
          <w:szCs w:val="16"/>
          <w:color w:val="auto"/>
        </w:rPr>
      </w:pPr>
    </w:p>
    <w:p>
      <w:pPr>
        <w:ind w:left="380" w:right="79"/>
        <w:spacing w:after="0" w:line="260" w:lineRule="auto"/>
        <w:rPr>
          <w:rFonts w:ascii="Arial" w:cs="Arial" w:eastAsia="Arial" w:hAnsi="Arial"/>
          <w:sz w:val="16"/>
          <w:szCs w:val="16"/>
          <w:color w:val="auto"/>
        </w:rPr>
      </w:pPr>
      <w:r>
        <w:rPr>
          <w:rFonts w:ascii="Arial" w:cs="Arial" w:eastAsia="Arial" w:hAnsi="Arial"/>
          <w:sz w:val="18"/>
          <w:szCs w:val="18"/>
          <w:color w:val="auto"/>
        </w:rPr>
        <w:t>(2). The Registrant agrees to furnish supplementally a copy of all omitted exhibits and schedules to the SEC upon its request.</w:t>
      </w:r>
    </w:p>
    <w:p>
      <w:pPr>
        <w:spacing w:after="0" w:line="185" w:lineRule="exact"/>
        <w:rPr>
          <w:sz w:val="20"/>
          <w:szCs w:val="20"/>
          <w:color w:val="auto"/>
        </w:rPr>
      </w:pPr>
    </w:p>
    <w:p>
      <w:pPr>
        <w:jc w:val="both"/>
        <w:ind w:left="380" w:right="79" w:hanging="330"/>
        <w:spacing w:after="0" w:line="259" w:lineRule="auto"/>
        <w:tabs>
          <w:tab w:leader="none" w:pos="38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80"/>
        <w:spacing w:after="0"/>
        <w:tabs>
          <w:tab w:leader="none" w:pos="4500" w:val="left"/>
        </w:tabs>
        <w:rPr>
          <w:sz w:val="20"/>
          <w:szCs w:val="20"/>
          <w:color w:val="auto"/>
        </w:rPr>
      </w:pPr>
      <w:r>
        <w:rPr>
          <w:rFonts w:ascii="Arial" w:cs="Arial" w:eastAsia="Arial" w:hAnsi="Arial"/>
          <w:sz w:val="18"/>
          <w:szCs w:val="18"/>
          <w:color w:val="auto"/>
        </w:rPr>
        <w:t>Dated: August 16, 2021</w:t>
      </w:r>
      <w:r>
        <w:rPr>
          <w:sz w:val="20"/>
          <w:szCs w:val="20"/>
          <w:color w:val="auto"/>
        </w:rPr>
        <w:tab/>
      </w:r>
      <w:r>
        <w:rPr>
          <w:rFonts w:ascii="Arial" w:cs="Arial" w:eastAsia="Arial" w:hAnsi="Arial"/>
          <w:sz w:val="17"/>
          <w:szCs w:val="17"/>
          <w:b w:val="1"/>
          <w:bCs w:val="1"/>
          <w:color w:val="auto"/>
        </w:rPr>
        <w:t>890 5TH AVENUE PARTNERS, INC.</w:t>
      </w:r>
    </w:p>
    <w:p>
      <w:pPr>
        <w:spacing w:after="0" w:line="229"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18"/>
          <w:szCs w:val="18"/>
          <w:color w:val="auto"/>
        </w:rPr>
        <w:t>By:</w:t>
        <w:tab/>
        <w:t>/s/ Emiliano Calemzuk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24942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Name:Emiliano Calemzuk</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 Park Avenue Partners,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Elm Place, Suite 206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Rye, NY 10580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890 5th Avenue Partners,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 Elm Place, Suite 206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Rye, NY 10580</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Reference is hereby made to that certain letter from the undersigned to 890 5th Avenue Partners, Inc., a Delaware corporation (the “Company”), dated May 27, 2021 (the “May Loan Commitment Letter”), pursuant to which the undersigned committed to the Company that, through January 14, 2023, which date is the scheduled liquidation date of the Company if the Company is unable to complete a business combination prior to such date, to the extent that funds are needed by the Company and upon request by the Company, the undersigned will provide to the Company loans in an aggregate amount of up to $1,600,000.</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letter is to confirm the undersigned’s commitment that, in addition to the amount committed pursuant to the May Loan Commitment Letter, through January 14, 2023, if the Company is unable to complete a business combination prior to such date, to the extent that funds are needed by the Company and upon request by the Company, the undersigned will provide to the Company loans in an aggregate amount of up to $800,000.</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loans will be non-interest bearing and unsecured, and upon the consummation of a business combination, at our option, will either (a) be repaid or (b) with respect to up to $1,500,000 of such loans (in the aggregate with any loans made under the May Loan Commitment Letter), may be convertible into units of the post-business combination entity at a price of $10.00 per unit (such units to be identical to the private placement units sold by the Company concurrently with its initial public offering).</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understands that if the Company does not consummate a business combination (as described in the Company’s prospectus, dated January 11, 2021), all amounts loaned to the Company hereunder and under the May Loan Commitment Letter will be forgiven except to the extent that the Company has funds available to it outside of its trust account established in connection with the Company’s initial public offering.</w:t>
      </w:r>
    </w:p>
    <w:p>
      <w:pPr>
        <w:spacing w:after="0" w:line="18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200 PARK AVENUE PARTNERS,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ind w:left="49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Rothstein</w:t>
            </w:r>
          </w:p>
        </w:tc>
      </w:tr>
      <w:tr>
        <w:trPr>
          <w:trHeight w:val="195"/>
        </w:trPr>
        <w:tc>
          <w:tcPr>
            <w:tcW w:w="5800" w:type="dxa"/>
            <w:vAlign w:val="bottom"/>
          </w:tcPr>
          <w:p>
            <w:pPr>
              <w:ind w:left="4980"/>
              <w:spacing w:after="0" w:line="195" w:lineRule="exact"/>
              <w:rPr>
                <w:sz w:val="20"/>
                <w:szCs w:val="20"/>
                <w:color w:val="auto"/>
              </w:rPr>
            </w:pPr>
            <w:r>
              <w:rPr>
                <w:rFonts w:ascii="Arial" w:cs="Arial" w:eastAsia="Arial" w:hAnsi="Arial"/>
                <w:sz w:val="18"/>
                <w:szCs w:val="18"/>
                <w:color w:val="auto"/>
              </w:rPr>
              <w:t>Name:</w:t>
            </w: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Adam Rothstein</w:t>
            </w:r>
          </w:p>
        </w:tc>
      </w:tr>
      <w:tr>
        <w:trPr>
          <w:trHeight w:val="230"/>
        </w:trPr>
        <w:tc>
          <w:tcPr>
            <w:tcW w:w="5800" w:type="dxa"/>
            <w:vAlign w:val="bottom"/>
          </w:tcPr>
          <w:p>
            <w:pPr>
              <w:ind w:left="4980"/>
              <w:spacing w:after="0"/>
              <w:rPr>
                <w:sz w:val="20"/>
                <w:szCs w:val="20"/>
                <w:color w:val="auto"/>
              </w:rPr>
            </w:pPr>
            <w:r>
              <w:rPr>
                <w:rFonts w:ascii="Arial" w:cs="Arial" w:eastAsia="Arial" w:hAnsi="Arial"/>
                <w:sz w:val="18"/>
                <w:szCs w:val="18"/>
                <w:color w:val="auto"/>
              </w:rPr>
              <w:t>Title:</w:t>
            </w:r>
          </w:p>
        </w:tc>
        <w:tc>
          <w:tcPr>
            <w:tcW w:w="4120" w:type="dxa"/>
            <w:vAlign w:val="bottom"/>
          </w:tcPr>
          <w:p>
            <w:pPr>
              <w:spacing w:after="0"/>
              <w:rPr>
                <w:sz w:val="20"/>
                <w:szCs w:val="20"/>
                <w:color w:val="auto"/>
              </w:rPr>
            </w:pPr>
            <w:r>
              <w:rPr>
                <w:rFonts w:ascii="Arial" w:cs="Arial" w:eastAsia="Arial" w:hAnsi="Arial"/>
                <w:sz w:val="18"/>
                <w:szCs w:val="18"/>
                <w:color w:val="auto"/>
              </w:rPr>
              <w:t>Manager</w:t>
            </w:r>
          </w:p>
        </w:tc>
      </w:tr>
      <w:tr>
        <w:trPr>
          <w:trHeight w:val="776"/>
        </w:trPr>
        <w:tc>
          <w:tcPr>
            <w:tcW w:w="58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1000" w:right="146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Emiliano Calemzuk,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2021 of 890 5</w:t>
      </w:r>
      <w:r>
        <w:rPr>
          <w:rFonts w:ascii="Arial" w:cs="Arial" w:eastAsia="Arial" w:hAnsi="Arial"/>
          <w:sz w:val="12"/>
          <w:szCs w:val="12"/>
          <w:color w:val="auto"/>
        </w:rPr>
        <w:t>th</w:t>
      </w:r>
      <w:r>
        <w:rPr>
          <w:rFonts w:ascii="Arial" w:cs="Arial" w:eastAsia="Arial" w:hAnsi="Arial"/>
          <w:sz w:val="17"/>
          <w:szCs w:val="17"/>
          <w:color w:val="auto"/>
        </w:rPr>
        <w:t xml:space="preserve"> Avenue Partners, Inc.;</w:t>
      </w:r>
    </w:p>
    <w:p>
      <w:pPr>
        <w:spacing w:after="0" w:line="236" w:lineRule="exact"/>
        <w:rPr>
          <w:rFonts w:ascii="Arial" w:cs="Arial" w:eastAsia="Arial" w:hAnsi="Arial"/>
          <w:sz w:val="17"/>
          <w:szCs w:val="17"/>
          <w:color w:val="auto"/>
        </w:rPr>
      </w:pPr>
    </w:p>
    <w:p>
      <w:pPr>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328"/>
        <w:spacing w:after="0" w:line="286"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660" w:right="28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00" w:hanging="328"/>
        <w:spacing w:after="0" w:line="311"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1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20" w:type="dxa"/>
            <w:vAlign w:val="bottom"/>
          </w:tcPr>
          <w:p>
            <w:pPr>
              <w:ind w:left="20"/>
              <w:spacing w:after="0"/>
              <w:rPr>
                <w:sz w:val="20"/>
                <w:szCs w:val="20"/>
                <w:color w:val="auto"/>
              </w:rPr>
            </w:pPr>
            <w:r>
              <w:rPr>
                <w:rFonts w:ascii="Arial" w:cs="Arial" w:eastAsia="Arial" w:hAnsi="Arial"/>
                <w:sz w:val="18"/>
                <w:szCs w:val="18"/>
                <w:color w:val="auto"/>
              </w:rPr>
              <w:t>Date: August 16, 2021</w:t>
            </w:r>
          </w:p>
        </w:tc>
        <w:tc>
          <w:tcPr>
            <w:tcW w:w="6600" w:type="dxa"/>
            <w:vAlign w:val="bottom"/>
            <w:gridSpan w:val="2"/>
          </w:tcPr>
          <w:p>
            <w:pPr>
              <w:ind w:left="1660"/>
              <w:spacing w:after="0"/>
              <w:rPr>
                <w:sz w:val="20"/>
                <w:szCs w:val="20"/>
                <w:color w:val="auto"/>
              </w:rPr>
            </w:pPr>
            <w:r>
              <w:rPr>
                <w:rFonts w:ascii="Arial" w:cs="Arial" w:eastAsia="Arial" w:hAnsi="Arial"/>
                <w:sz w:val="18"/>
                <w:szCs w:val="18"/>
                <w:color w:val="auto"/>
              </w:rPr>
              <w:t>By: /s/ Emiliano Calemzuk</w:t>
            </w:r>
          </w:p>
        </w:tc>
      </w:tr>
      <w:tr>
        <w:trPr>
          <w:trHeight w:val="215"/>
        </w:trPr>
        <w:tc>
          <w:tcPr>
            <w:tcW w:w="3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Emiliano Calemzuk</w:t>
            </w:r>
          </w:p>
        </w:tc>
      </w:tr>
      <w:tr>
        <w:trPr>
          <w:trHeight w:val="229"/>
        </w:trPr>
        <w:tc>
          <w:tcPr>
            <w:tcW w:w="3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90"/>
        </w:trPr>
        <w:tc>
          <w:tcPr>
            <w:tcW w:w="3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1000" w:right="146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Michael Del Nin,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2021 of 890 5</w:t>
      </w:r>
      <w:r>
        <w:rPr>
          <w:rFonts w:ascii="Arial" w:cs="Arial" w:eastAsia="Arial" w:hAnsi="Arial"/>
          <w:sz w:val="12"/>
          <w:szCs w:val="12"/>
          <w:color w:val="auto"/>
        </w:rPr>
        <w:t>th</w:t>
      </w:r>
      <w:r>
        <w:rPr>
          <w:rFonts w:ascii="Arial" w:cs="Arial" w:eastAsia="Arial" w:hAnsi="Arial"/>
          <w:sz w:val="17"/>
          <w:szCs w:val="17"/>
          <w:color w:val="auto"/>
        </w:rPr>
        <w:t xml:space="preserve"> Avenue Partners, Inc.;</w:t>
      </w:r>
    </w:p>
    <w:p>
      <w:pPr>
        <w:spacing w:after="0" w:line="236" w:lineRule="exact"/>
        <w:rPr>
          <w:rFonts w:ascii="Arial" w:cs="Arial" w:eastAsia="Arial" w:hAnsi="Arial"/>
          <w:sz w:val="17"/>
          <w:szCs w:val="17"/>
          <w:color w:val="auto"/>
        </w:rPr>
      </w:pPr>
    </w:p>
    <w:p>
      <w:pPr>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328"/>
        <w:spacing w:after="0" w:line="286"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660" w:right="28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00" w:hanging="328"/>
        <w:spacing w:after="0" w:line="311"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1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20" w:type="dxa"/>
            <w:vAlign w:val="bottom"/>
          </w:tcPr>
          <w:p>
            <w:pPr>
              <w:ind w:left="20"/>
              <w:spacing w:after="0"/>
              <w:rPr>
                <w:sz w:val="20"/>
                <w:szCs w:val="20"/>
                <w:color w:val="auto"/>
              </w:rPr>
            </w:pPr>
            <w:r>
              <w:rPr>
                <w:rFonts w:ascii="Arial" w:cs="Arial" w:eastAsia="Arial" w:hAnsi="Arial"/>
                <w:sz w:val="18"/>
                <w:szCs w:val="18"/>
                <w:color w:val="auto"/>
              </w:rPr>
              <w:t>Date: August 16, 2021</w:t>
            </w:r>
          </w:p>
        </w:tc>
        <w:tc>
          <w:tcPr>
            <w:tcW w:w="6600" w:type="dxa"/>
            <w:vAlign w:val="bottom"/>
            <w:gridSpan w:val="2"/>
          </w:tcPr>
          <w:p>
            <w:pPr>
              <w:ind w:left="1660"/>
              <w:spacing w:after="0"/>
              <w:rPr>
                <w:sz w:val="20"/>
                <w:szCs w:val="20"/>
                <w:color w:val="auto"/>
              </w:rPr>
            </w:pPr>
            <w:r>
              <w:rPr>
                <w:rFonts w:ascii="Arial" w:cs="Arial" w:eastAsia="Arial" w:hAnsi="Arial"/>
                <w:sz w:val="18"/>
                <w:szCs w:val="18"/>
                <w:color w:val="auto"/>
              </w:rPr>
              <w:t>By: /s/ Michael Del Nin</w:t>
            </w:r>
          </w:p>
        </w:tc>
      </w:tr>
      <w:tr>
        <w:trPr>
          <w:trHeight w:val="215"/>
        </w:trPr>
        <w:tc>
          <w:tcPr>
            <w:tcW w:w="3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Del Nin</w:t>
            </w:r>
          </w:p>
        </w:tc>
      </w:tr>
      <w:tr>
        <w:trPr>
          <w:trHeight w:val="229"/>
        </w:trPr>
        <w:tc>
          <w:tcPr>
            <w:tcW w:w="3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90"/>
        </w:trPr>
        <w:tc>
          <w:tcPr>
            <w:tcW w:w="3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890 5</w:t>
      </w:r>
      <w:r>
        <w:rPr>
          <w:rFonts w:ascii="Arial" w:cs="Arial" w:eastAsia="Arial" w:hAnsi="Arial"/>
          <w:sz w:val="13"/>
          <w:szCs w:val="13"/>
          <w:color w:val="auto"/>
        </w:rPr>
        <w:t>th</w:t>
      </w:r>
      <w:r>
        <w:rPr>
          <w:rFonts w:ascii="Arial" w:cs="Arial" w:eastAsia="Arial" w:hAnsi="Arial"/>
          <w:sz w:val="18"/>
          <w:szCs w:val="18"/>
          <w:color w:val="auto"/>
        </w:rPr>
        <w:t xml:space="preserve"> Avenue Partners, Inc. (the “</w:t>
      </w:r>
      <w:r>
        <w:rPr>
          <w:rFonts w:ascii="Arial" w:cs="Arial" w:eastAsia="Arial" w:hAnsi="Arial"/>
          <w:sz w:val="18"/>
          <w:szCs w:val="18"/>
          <w:u w:val="single" w:color="auto"/>
          <w:color w:val="auto"/>
        </w:rPr>
        <w:t>Company”</w:t>
      </w:r>
      <w:r>
        <w:rPr>
          <w:rFonts w:ascii="Arial" w:cs="Arial" w:eastAsia="Arial" w:hAnsi="Arial"/>
          <w:sz w:val="18"/>
          <w:szCs w:val="18"/>
          <w:color w:val="auto"/>
        </w:rPr>
        <w:t>) for the quarter ended June 30,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Emiliano Calemzuk, Chief Executive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Date: August 16, 2021</w:t>
            </w:r>
          </w:p>
        </w:tc>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Emiliano Calemzuk</w:t>
            </w:r>
          </w:p>
        </w:tc>
      </w:tr>
      <w:tr>
        <w:trPr>
          <w:trHeight w:val="215"/>
        </w:trPr>
        <w:tc>
          <w:tcPr>
            <w:tcW w:w="57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80"/>
              <w:spacing w:after="0"/>
              <w:rPr>
                <w:sz w:val="20"/>
                <w:szCs w:val="20"/>
                <w:color w:val="auto"/>
              </w:rPr>
            </w:pPr>
            <w:r>
              <w:rPr>
                <w:rFonts w:ascii="Arial" w:cs="Arial" w:eastAsia="Arial" w:hAnsi="Arial"/>
                <w:sz w:val="18"/>
                <w:szCs w:val="18"/>
                <w:color w:val="auto"/>
              </w:rPr>
              <w:t>Emiliano Calemzuk</w:t>
            </w:r>
          </w:p>
        </w:tc>
      </w:tr>
      <w:tr>
        <w:trPr>
          <w:trHeight w:val="230"/>
        </w:trPr>
        <w:tc>
          <w:tcPr>
            <w:tcW w:w="57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r>
        <w:trPr>
          <w:trHeight w:val="230"/>
        </w:trPr>
        <w:tc>
          <w:tcPr>
            <w:tcW w:w="5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790"/>
        </w:trPr>
        <w:tc>
          <w:tcPr>
            <w:tcW w:w="5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890 5</w:t>
      </w:r>
      <w:r>
        <w:rPr>
          <w:rFonts w:ascii="Arial" w:cs="Arial" w:eastAsia="Arial" w:hAnsi="Arial"/>
          <w:sz w:val="13"/>
          <w:szCs w:val="13"/>
          <w:color w:val="auto"/>
        </w:rPr>
        <w:t>th</w:t>
      </w:r>
      <w:r>
        <w:rPr>
          <w:rFonts w:ascii="Arial" w:cs="Arial" w:eastAsia="Arial" w:hAnsi="Arial"/>
          <w:sz w:val="18"/>
          <w:szCs w:val="18"/>
          <w:color w:val="auto"/>
        </w:rPr>
        <w:t xml:space="preserve"> Avenue Partners, Inc. (the “</w:t>
      </w:r>
      <w:r>
        <w:rPr>
          <w:rFonts w:ascii="Arial" w:cs="Arial" w:eastAsia="Arial" w:hAnsi="Arial"/>
          <w:sz w:val="18"/>
          <w:szCs w:val="18"/>
          <w:u w:val="single" w:color="auto"/>
          <w:color w:val="auto"/>
        </w:rPr>
        <w:t>Company”</w:t>
      </w:r>
      <w:r>
        <w:rPr>
          <w:rFonts w:ascii="Arial" w:cs="Arial" w:eastAsia="Arial" w:hAnsi="Arial"/>
          <w:sz w:val="18"/>
          <w:szCs w:val="18"/>
          <w:color w:val="auto"/>
        </w:rPr>
        <w:t>) for the quarter ended June 30,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Michael Del Nin, Chief Financial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Date: August 16,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Del Nin</w:t>
            </w:r>
          </w:p>
        </w:tc>
      </w:tr>
      <w:tr>
        <w:trPr>
          <w:trHeight w:val="215"/>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Name: Michael Del Nin</w:t>
            </w:r>
          </w:p>
        </w:tc>
      </w:tr>
      <w:tr>
        <w:trPr>
          <w:trHeight w:val="229"/>
        </w:trPr>
        <w:tc>
          <w:tcPr>
            <w:tcW w:w="49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230"/>
        </w:trPr>
        <w:tc>
          <w:tcPr>
            <w:tcW w:w="4960" w:type="dxa"/>
            <w:vAlign w:val="bottom"/>
          </w:tcPr>
          <w:p>
            <w:pPr>
              <w:spacing w:after="0"/>
              <w:rPr>
                <w:sz w:val="20"/>
                <w:szCs w:val="20"/>
                <w:color w:val="auto"/>
              </w:rPr>
            </w:pPr>
          </w:p>
        </w:tc>
        <w:tc>
          <w:tcPr>
            <w:tcW w:w="4960" w:type="dxa"/>
            <w:vAlign w:val="bottom"/>
          </w:tcPr>
          <w:p>
            <w:pPr>
              <w:ind w:left="580"/>
              <w:spacing w:after="0"/>
              <w:rPr>
                <w:sz w:val="20"/>
                <w:szCs w:val="20"/>
                <w:color w:val="auto"/>
              </w:rPr>
            </w:pPr>
            <w:r>
              <w:rPr>
                <w:rFonts w:ascii="Arial" w:cs="Arial" w:eastAsia="Arial" w:hAnsi="Arial"/>
                <w:sz w:val="18"/>
                <w:szCs w:val="18"/>
                <w:color w:val="auto"/>
              </w:rPr>
              <w:t>(Principal Financial and Accounting Officer)</w:t>
            </w:r>
          </w:p>
        </w:tc>
      </w:tr>
      <w:tr>
        <w:trPr>
          <w:trHeight w:val="790"/>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upperLetter"/>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68" Type="http://schemas.openxmlformats.org/officeDocument/2006/relationships/hyperlink" Target="https://www.sec.gov/Archives/edgar/data/1828972/000110465921085218/tm2120621d1_ex2-1.htm" TargetMode="External"/><Relationship Id="rId69" Type="http://schemas.openxmlformats.org/officeDocument/2006/relationships/hyperlink" Target="https://www.sec.gov/Archives/edgar/data/1828972/000110465921085218/tm2120621d1_ex4-1.htm" TargetMode="External"/><Relationship Id="rId70" Type="http://schemas.openxmlformats.org/officeDocument/2006/relationships/hyperlink" Target="https://www.sec.gov/Archives/edgar/data/1828972/000110465921085218/tm2120621d1_ex4-2.htm" TargetMode="External"/><Relationship Id="rId71" Type="http://schemas.openxmlformats.org/officeDocument/2006/relationships/hyperlink" Target="https://www.sec.gov/Archives/edgar/data/1828972/000110465921085218/tm2120621d1_ex10-1.htm" TargetMode="External"/><Relationship Id="rId72" Type="http://schemas.openxmlformats.org/officeDocument/2006/relationships/hyperlink" Target="https://www.sec.gov/Archives/edgar/data/1828972/000110465921085218/tm2120621d1_ex10-2.htm" TargetMode="External"/><Relationship Id="rId73" Type="http://schemas.openxmlformats.org/officeDocument/2006/relationships/hyperlink" Target="https://www.sec.gov/Archives/edgar/data/1828972/000110465921085218/tm2120621d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2021-08-16T08:24:23Z</dcterms:created>
  <dcterms:modified xsi:type="dcterms:W3CDTF">2021-08-16T08:24:23Z</dcterms:modified>
</cp:coreProperties>
</file>