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left="4220" w:right="2220" w:hanging="1983"/>
        <w:spacing w:after="0" w:line="503" w:lineRule="auto"/>
        <w:tabs>
          <w:tab w:leader="none" w:pos="24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year ended December 31, 2020</w:t>
      </w: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001-39877</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890 5th Avenue Partners,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18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right"/>
              <w:ind w:right="2230"/>
              <w:spacing w:after="0"/>
              <w:rPr>
                <w:sz w:val="20"/>
                <w:szCs w:val="20"/>
                <w:color w:val="auto"/>
              </w:rPr>
            </w:pPr>
            <w:r>
              <w:rPr>
                <w:rFonts w:ascii="Arial" w:cs="Arial" w:eastAsia="Arial" w:hAnsi="Arial"/>
                <w:sz w:val="18"/>
                <w:szCs w:val="18"/>
                <w:b w:val="1"/>
                <w:bCs w:val="1"/>
                <w:color w:val="auto"/>
              </w:rPr>
              <w:t>85-3022075</w:t>
            </w:r>
          </w:p>
        </w:tc>
      </w:tr>
      <w:tr>
        <w:trPr>
          <w:trHeight w:val="230"/>
        </w:trPr>
        <w:tc>
          <w:tcPr>
            <w:tcW w:w="56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0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618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0"/>
              </w:rPr>
              <w:t>14 Elm Place, Suite 206</w:t>
            </w:r>
          </w:p>
        </w:tc>
        <w:tc>
          <w:tcPr>
            <w:tcW w:w="5060" w:type="dxa"/>
            <w:vAlign w:val="bottom"/>
          </w:tcPr>
          <w:p>
            <w:pPr>
              <w:spacing w:after="0"/>
              <w:rPr>
                <w:sz w:val="24"/>
                <w:szCs w:val="24"/>
                <w:color w:val="auto"/>
              </w:rPr>
            </w:pPr>
          </w:p>
        </w:tc>
      </w:tr>
      <w:tr>
        <w:trPr>
          <w:trHeight w:val="241"/>
        </w:trPr>
        <w:tc>
          <w:tcPr>
            <w:tcW w:w="618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4"/>
              </w:rPr>
              <w:t>Rye, NY</w:t>
            </w:r>
          </w:p>
        </w:tc>
        <w:tc>
          <w:tcPr>
            <w:tcW w:w="5060" w:type="dxa"/>
            <w:vAlign w:val="bottom"/>
          </w:tcPr>
          <w:p>
            <w:pPr>
              <w:jc w:val="right"/>
              <w:ind w:right="2430"/>
              <w:spacing w:after="0"/>
              <w:rPr>
                <w:sz w:val="20"/>
                <w:szCs w:val="20"/>
                <w:color w:val="auto"/>
              </w:rPr>
            </w:pPr>
            <w:r>
              <w:rPr>
                <w:rFonts w:ascii="Arial" w:cs="Arial" w:eastAsia="Arial" w:hAnsi="Arial"/>
                <w:sz w:val="18"/>
                <w:szCs w:val="18"/>
                <w:b w:val="1"/>
                <w:bCs w:val="1"/>
                <w:color w:val="auto"/>
              </w:rPr>
              <w:t>10580</w:t>
            </w:r>
          </w:p>
        </w:tc>
      </w:tr>
      <w:tr>
        <w:trPr>
          <w:trHeight w:val="230"/>
        </w:trPr>
        <w:tc>
          <w:tcPr>
            <w:tcW w:w="56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0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1"/>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(575) 914-6575</w:t>
            </w:r>
          </w:p>
        </w:tc>
        <w:tc>
          <w:tcPr>
            <w:tcW w:w="5060" w:type="dxa"/>
            <w:vAlign w:val="bottom"/>
          </w:tcPr>
          <w:p>
            <w:pPr>
              <w:spacing w:after="0"/>
              <w:rPr>
                <w:sz w:val="24"/>
                <w:szCs w:val="24"/>
                <w:color w:val="auto"/>
              </w:rPr>
            </w:pPr>
          </w:p>
        </w:tc>
      </w:tr>
      <w:tr>
        <w:trPr>
          <w:trHeight w:val="236"/>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91"/>
              </w:rPr>
              <w:t>(Issuer’s Telephone Number, Including Area Code)</w:t>
            </w:r>
          </w:p>
        </w:tc>
      </w:tr>
      <w:tr>
        <w:trPr>
          <w:trHeight w:val="432"/>
        </w:trPr>
        <w:tc>
          <w:tcPr>
            <w:tcW w:w="1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39"/>
        </w:trPr>
        <w:tc>
          <w:tcPr>
            <w:tcW w:w="618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9"/>
              </w:rPr>
              <w:t>Title of Each Class</w:t>
            </w:r>
          </w:p>
        </w:tc>
        <w:tc>
          <w:tcPr>
            <w:tcW w:w="50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5640" w:type="dxa"/>
            <w:vAlign w:val="bottom"/>
            <w:tcBorders>
              <w:top w:val="single" w:sz="8" w:color="auto"/>
            </w:tcBorders>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 common stock, $0.0001 par</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60" w:type="dxa"/>
            <w:vAlign w:val="bottom"/>
            <w:tcBorders>
              <w:top w:val="single" w:sz="8" w:color="auto"/>
            </w:tcBorders>
            <w:shd w:val="clear" w:color="auto" w:fill="CCEEFF"/>
          </w:tcPr>
          <w:p>
            <w:pPr>
              <w:jc w:val="center"/>
              <w:ind w:right="35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6180" w:type="dxa"/>
            <w:vAlign w:val="bottom"/>
            <w:gridSpan w:val="4"/>
            <w:shd w:val="clear" w:color="auto" w:fill="CCEEFF"/>
          </w:tcPr>
          <w:p>
            <w:pPr>
              <w:jc w:val="center"/>
              <w:ind w:right="560"/>
              <w:spacing w:after="0"/>
              <w:rPr>
                <w:sz w:val="20"/>
                <w:szCs w:val="20"/>
                <w:color w:val="auto"/>
              </w:rPr>
            </w:pPr>
            <w:r>
              <w:rPr>
                <w:rFonts w:ascii="Arial" w:cs="Arial" w:eastAsia="Arial" w:hAnsi="Arial"/>
                <w:sz w:val="18"/>
                <w:szCs w:val="18"/>
                <w:color w:val="auto"/>
                <w:w w:val="90"/>
              </w:rPr>
              <w:t>value, and one-third of one redeemable warrant</w:t>
            </w:r>
          </w:p>
        </w:tc>
        <w:tc>
          <w:tcPr>
            <w:tcW w:w="5060" w:type="dxa"/>
            <w:vAlign w:val="bottom"/>
            <w:shd w:val="clear" w:color="auto" w:fill="CCEEFF"/>
          </w:tcPr>
          <w:p>
            <w:pPr>
              <w:spacing w:after="0"/>
              <w:rPr>
                <w:sz w:val="20"/>
                <w:szCs w:val="20"/>
                <w:color w:val="auto"/>
              </w:rPr>
            </w:pPr>
          </w:p>
        </w:tc>
      </w:tr>
      <w:tr>
        <w:trPr>
          <w:trHeight w:val="216"/>
        </w:trPr>
        <w:tc>
          <w:tcPr>
            <w:tcW w:w="6180" w:type="dxa"/>
            <w:vAlign w:val="bottom"/>
            <w:gridSpan w:val="4"/>
          </w:tcPr>
          <w:p>
            <w:pPr>
              <w:jc w:val="center"/>
              <w:ind w:right="560"/>
              <w:spacing w:after="0"/>
              <w:rPr>
                <w:sz w:val="20"/>
                <w:szCs w:val="20"/>
                <w:color w:val="auto"/>
              </w:rPr>
            </w:pPr>
            <w:r>
              <w:rPr>
                <w:rFonts w:ascii="Arial" w:cs="Arial" w:eastAsia="Arial" w:hAnsi="Arial"/>
                <w:sz w:val="18"/>
                <w:szCs w:val="18"/>
                <w:color w:val="auto"/>
                <w:w w:val="89"/>
              </w:rPr>
              <w:t>Shares of Class A common stock, par value $0.0001 per share</w:t>
            </w:r>
          </w:p>
        </w:tc>
        <w:tc>
          <w:tcPr>
            <w:tcW w:w="5060" w:type="dxa"/>
            <w:vAlign w:val="bottom"/>
          </w:tcPr>
          <w:p>
            <w:pPr>
              <w:jc w:val="center"/>
              <w:ind w:right="35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6180" w:type="dxa"/>
            <w:vAlign w:val="bottom"/>
            <w:gridSpan w:val="4"/>
            <w:shd w:val="clear" w:color="auto" w:fill="CCEEFF"/>
          </w:tcPr>
          <w:p>
            <w:pPr>
              <w:jc w:val="center"/>
              <w:ind w:right="540"/>
              <w:spacing w:after="0" w:line="201" w:lineRule="exact"/>
              <w:rPr>
                <w:sz w:val="20"/>
                <w:szCs w:val="20"/>
                <w:color w:val="auto"/>
              </w:rPr>
            </w:pPr>
            <w:r>
              <w:rPr>
                <w:rFonts w:ascii="Arial" w:cs="Arial" w:eastAsia="Arial" w:hAnsi="Arial"/>
                <w:sz w:val="18"/>
                <w:szCs w:val="18"/>
                <w:color w:val="auto"/>
                <w:w w:val="88"/>
              </w:rPr>
              <w:t>Redeemable warrants, exercisable for shares of common stock at an exercise</w:t>
            </w:r>
          </w:p>
        </w:tc>
        <w:tc>
          <w:tcPr>
            <w:tcW w:w="5060" w:type="dxa"/>
            <w:vAlign w:val="bottom"/>
            <w:shd w:val="clear" w:color="auto" w:fill="CCEEFF"/>
          </w:tcPr>
          <w:p>
            <w:pPr>
              <w:jc w:val="center"/>
              <w:ind w:right="35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6180" w:type="dxa"/>
            <w:vAlign w:val="bottom"/>
            <w:gridSpan w:val="4"/>
            <w:shd w:val="clear" w:color="auto" w:fill="CCEEFF"/>
          </w:tcPr>
          <w:p>
            <w:pPr>
              <w:jc w:val="center"/>
              <w:ind w:right="560"/>
              <w:spacing w:after="0"/>
              <w:rPr>
                <w:sz w:val="20"/>
                <w:szCs w:val="20"/>
                <w:color w:val="auto"/>
              </w:rPr>
            </w:pPr>
            <w:r>
              <w:rPr>
                <w:rFonts w:ascii="Arial" w:cs="Arial" w:eastAsia="Arial" w:hAnsi="Arial"/>
                <w:sz w:val="18"/>
                <w:szCs w:val="18"/>
                <w:color w:val="auto"/>
                <w:w w:val="88"/>
              </w:rPr>
              <w:t>price of $11.50 per share</w:t>
            </w:r>
          </w:p>
        </w:tc>
        <w:tc>
          <w:tcPr>
            <w:tcW w:w="50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past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4"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864"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registrant was incorporated on September 9, 2020, and has a fiscal year ending on December 31. Therefore, as of the filing date of this Annual Report on Form 10-K, the registrant has not yet completed a second fiscal quarter. Accordingly, there was no market value for the registrant’s shares of common stock on such date.</w:t>
      </w:r>
    </w:p>
    <w:p>
      <w:pPr>
        <w:sectPr>
          <w:pgSz w:w="11900" w:h="16838" w:orient="portrait"/>
          <w:cols w:equalWidth="0" w:num="1">
            <w:col w:w="11240"/>
          </w:cols>
          <w:pgMar w:left="320" w:top="864" w:right="339" w:bottom="0" w:gutter="0" w:footer="0" w:header="0"/>
          <w:type w:val="continuous"/>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As of March 31, 2021, 29,527,500 shares of Class A common stock, par value $0.0001 per share, and 7,187,500 shares of Class F common stock, par value $0.0001 per share, were outstanding.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Documents Incorporated by Reference: The information contained in the registrant’s prospectus dated January 11, 2021, as filed with the Securities and Exchange Commission on January 13, 2021, pursuant to Rule 424(b)(4) (SEC File No. 333-251650) is incorporated into certain portions of Parts I, II, and III, as disclosed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auto"/>
                <w:w w:val="96"/>
              </w:rPr>
              <w:t>890 5TH AVENUE PARTNERS, INC.</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60" w:type="dxa"/>
            <w:vAlign w:val="bottom"/>
            <w:gridSpan w:val="7"/>
          </w:tcPr>
          <w:p>
            <w:pPr>
              <w:jc w:val="center"/>
              <w:ind w:right="4720"/>
              <w:spacing w:after="0"/>
              <w:rPr>
                <w:sz w:val="20"/>
                <w:szCs w:val="20"/>
                <w:color w:val="auto"/>
              </w:rPr>
            </w:pPr>
            <w:r>
              <w:rPr>
                <w:rFonts w:ascii="Arial" w:cs="Arial" w:eastAsia="Arial" w:hAnsi="Arial"/>
                <w:sz w:val="18"/>
                <w:szCs w:val="18"/>
                <w:b w:val="1"/>
                <w:bCs w:val="1"/>
                <w:color w:val="auto"/>
              </w:rPr>
              <w:t>FORM 10-K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4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5"/>
        </w:trPr>
        <w:tc>
          <w:tcPr>
            <w:tcW w:w="880" w:type="dxa"/>
            <w:vAlign w:val="bottom"/>
            <w:gridSpan w:val="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80" w:type="dxa"/>
            <w:vAlign w:val="bottom"/>
            <w:shd w:val="clear" w:color="auto" w:fill="CCEEFF"/>
          </w:tcPr>
          <w:p>
            <w:pPr>
              <w:spacing w:after="0"/>
              <w:rPr>
                <w:sz w:val="15"/>
                <w:szCs w:val="15"/>
                <w:color w:val="auto"/>
              </w:rPr>
            </w:pP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80" w:type="dxa"/>
            <w:vAlign w:val="bottom"/>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10680" w:type="dxa"/>
            <w:vAlign w:val="bottom"/>
            <w:tcBorders>
              <w:right w:val="single" w:sz="8" w:color="CCEEFF"/>
            </w:tcBorders>
            <w:gridSpan w:val="3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1A. Risk Factors.</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80" w:type="dxa"/>
            <w:vAlign w:val="bottom"/>
            <w:shd w:val="clear" w:color="auto" w:fill="CCEEFF"/>
          </w:tcPr>
          <w:p>
            <w:pPr>
              <w:spacing w:after="0"/>
              <w:rPr>
                <w:sz w:val="15"/>
                <w:szCs w:val="15"/>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Item 1B.</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Unresolved Staff Comments.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8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2.</w:t>
              </w:r>
            </w:hyperlink>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Properties.</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80" w:type="dxa"/>
            <w:vAlign w:val="bottom"/>
            <w:shd w:val="clear" w:color="auto" w:fill="CCEEFF"/>
          </w:tcPr>
          <w:p>
            <w:pPr>
              <w:spacing w:after="0"/>
              <w:rPr>
                <w:sz w:val="15"/>
                <w:szCs w:val="15"/>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3.</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Legal Proceedings.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80" w:type="dxa"/>
            <w:vAlign w:val="bottom"/>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4.</w:t>
              </w:r>
            </w:hyperlink>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Mine Safety Disclosures.</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80" w:type="dxa"/>
            <w:vAlign w:val="bottom"/>
            <w:shd w:val="clear" w:color="auto" w:fill="CCEEFF"/>
          </w:tcPr>
          <w:p>
            <w:pPr>
              <w:spacing w:after="0"/>
              <w:rPr>
                <w:sz w:val="17"/>
                <w:szCs w:val="17"/>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880" w:type="dxa"/>
            <w:vAlign w:val="bottom"/>
            <w:gridSpan w:val="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II</w:t>
              </w:r>
            </w:hyperlink>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180" w:type="dxa"/>
            <w:vAlign w:val="bottom"/>
            <w:shd w:val="clear" w:color="auto" w:fill="CCEEFF"/>
          </w:tcPr>
          <w:p>
            <w:pPr>
              <w:spacing w:after="0"/>
              <w:rPr>
                <w:sz w:val="15"/>
                <w:szCs w:val="15"/>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5.</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Market for Registrant’s Common Equity, Related Stockholder Matters and Issuer Purchases of Equity Securities.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18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6.</w:t>
              </w:r>
            </w:hyperlink>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Selected Financial Data.</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180" w:type="dxa"/>
            <w:vAlign w:val="bottom"/>
            <w:shd w:val="clear" w:color="auto" w:fill="CCEEFF"/>
          </w:tcPr>
          <w:p>
            <w:pPr>
              <w:spacing w:after="0"/>
              <w:rPr>
                <w:sz w:val="15"/>
                <w:szCs w:val="15"/>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7.</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180" w:type="dxa"/>
            <w:vAlign w:val="bottom"/>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10680" w:type="dxa"/>
            <w:vAlign w:val="bottom"/>
            <w:tcBorders>
              <w:right w:val="single" w:sz="8" w:color="CCEEFF"/>
            </w:tcBorders>
            <w:gridSpan w:val="30"/>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7A. Quantitative and Qualitative Disclosures About Market Risk.</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180" w:type="dxa"/>
            <w:vAlign w:val="bottom"/>
            <w:shd w:val="clear" w:color="auto" w:fill="CCEEFF"/>
          </w:tcPr>
          <w:p>
            <w:pPr>
              <w:spacing w:after="0"/>
              <w:rPr>
                <w:sz w:val="15"/>
                <w:szCs w:val="15"/>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8.</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Financial Statements and Supplementary Data.</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18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9.</w:t>
              </w:r>
            </w:hyperlink>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Changes in and Disagreements with Accountants on Accounting and Financial Disclosures.</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180" w:type="dxa"/>
            <w:vAlign w:val="bottom"/>
            <w:shd w:val="clear" w:color="auto" w:fill="CCEEFF"/>
          </w:tcPr>
          <w:p>
            <w:pPr>
              <w:spacing w:after="0"/>
              <w:rPr>
                <w:sz w:val="15"/>
                <w:szCs w:val="15"/>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10680" w:type="dxa"/>
            <w:vAlign w:val="bottom"/>
            <w:gridSpan w:val="30"/>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9A. Controls and Procedures.</w:t>
              </w:r>
            </w:hyperlink>
          </w:p>
        </w:tc>
        <w:tc>
          <w:tcPr>
            <w:tcW w:w="140" w:type="dxa"/>
            <w:vAlign w:val="bottom"/>
          </w:tcPr>
          <w:p>
            <w:pPr>
              <w:jc w:val="center"/>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180" w:type="dxa"/>
            <w:vAlign w:val="bottom"/>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640" w:type="dxa"/>
            <w:vAlign w:val="bottom"/>
            <w:gridSpan w:val="8"/>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Item 9B.</w:t>
              </w:r>
            </w:hyperlink>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Other Information.</w:t>
              </w:r>
            </w:hyperlink>
          </w:p>
        </w:tc>
        <w:tc>
          <w:tcPr>
            <w:tcW w:w="140" w:type="dxa"/>
            <w:vAlign w:val="bottom"/>
            <w:tcBorders>
              <w:right w:val="single" w:sz="8" w:color="CCEEFF"/>
            </w:tcBorders>
            <w:shd w:val="clear" w:color="auto" w:fill="CCEEFF"/>
          </w:tcPr>
          <w:p>
            <w:pPr>
              <w:jc w:val="center"/>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180" w:type="dxa"/>
            <w:vAlign w:val="bottom"/>
            <w:shd w:val="clear" w:color="auto" w:fill="CCEEFF"/>
          </w:tcPr>
          <w:p>
            <w:pPr>
              <w:spacing w:after="0"/>
              <w:rPr>
                <w:sz w:val="17"/>
                <w:szCs w:val="17"/>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880" w:type="dxa"/>
            <w:vAlign w:val="bottom"/>
            <w:gridSpan w:val="9"/>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PART III</w:t>
              </w:r>
            </w:hyperlink>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80" w:type="dxa"/>
            <w:vAlign w:val="bottom"/>
            <w:tcBorders>
              <w:right w:val="single" w:sz="8" w:color="CCEEFF"/>
            </w:tcBorders>
            <w:shd w:val="clear" w:color="auto" w:fill="CCEEFF"/>
          </w:tcPr>
          <w:p>
            <w:pPr>
              <w:spacing w:after="0"/>
              <w:rPr>
                <w:sz w:val="15"/>
                <w:szCs w:val="15"/>
                <w:color w:val="auto"/>
              </w:rPr>
            </w:pPr>
          </w:p>
        </w:tc>
        <w:tc>
          <w:tcPr>
            <w:tcW w:w="320" w:type="dxa"/>
            <w:vAlign w:val="bottom"/>
            <w:gridSpan w:val="2"/>
            <w:shd w:val="clear" w:color="auto" w:fill="CCEEFF"/>
          </w:tcPr>
          <w:p>
            <w:pPr>
              <w:jc w:val="center"/>
              <w:ind w:right="180"/>
              <w:spacing w:after="0" w:line="176" w:lineRule="exact"/>
              <w:rPr>
                <w:rFonts w:ascii="Arial" w:cs="Arial" w:eastAsia="Arial" w:hAnsi="Arial"/>
                <w:sz w:val="17"/>
                <w:szCs w:val="17"/>
                <w:color w:val="0000EE"/>
                <w:w w:val="73"/>
              </w:rPr>
            </w:pPr>
            <w:hyperlink w:anchor="page13">
              <w:r>
                <w:rPr>
                  <w:rFonts w:ascii="Arial" w:cs="Arial" w:eastAsia="Arial" w:hAnsi="Arial"/>
                  <w:sz w:val="17"/>
                  <w:szCs w:val="17"/>
                  <w:color w:val="0000EE"/>
                  <w:w w:val="73"/>
                </w:rPr>
                <w:t>10</w:t>
              </w:r>
            </w:hyperlink>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640" w:type="dxa"/>
            <w:vAlign w:val="bottom"/>
            <w:gridSpan w:val="8"/>
          </w:tcPr>
          <w:p>
            <w:pPr>
              <w:spacing w:after="0" w:line="17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Item 10.</w:t>
              </w:r>
            </w:hyperlink>
          </w:p>
        </w:tc>
        <w:tc>
          <w:tcPr>
            <w:tcW w:w="10040" w:type="dxa"/>
            <w:vAlign w:val="bottom"/>
            <w:gridSpan w:val="22"/>
          </w:tcPr>
          <w:p>
            <w:pPr>
              <w:ind w:left="4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Directors, Executive Officers and Corporate Governance.</w:t>
              </w:r>
            </w:hyperlink>
          </w:p>
        </w:tc>
        <w:tc>
          <w:tcPr>
            <w:tcW w:w="320" w:type="dxa"/>
            <w:vAlign w:val="bottom"/>
            <w:gridSpan w:val="2"/>
          </w:tcPr>
          <w:p>
            <w:pPr>
              <w:jc w:val="center"/>
              <w:ind w:right="180"/>
              <w:spacing w:after="0" w:line="176" w:lineRule="exact"/>
              <w:rPr>
                <w:rFonts w:ascii="Arial" w:cs="Arial" w:eastAsia="Arial" w:hAnsi="Arial"/>
                <w:sz w:val="17"/>
                <w:szCs w:val="17"/>
                <w:color w:val="0000EE"/>
                <w:w w:val="73"/>
              </w:rPr>
            </w:pPr>
            <w:hyperlink w:anchor="page13">
              <w:r>
                <w:rPr>
                  <w:rFonts w:ascii="Arial" w:cs="Arial" w:eastAsia="Arial" w:hAnsi="Arial"/>
                  <w:sz w:val="17"/>
                  <w:szCs w:val="17"/>
                  <w:color w:val="0000EE"/>
                  <w:w w:val="73"/>
                </w:rPr>
                <w:t>10</w:t>
              </w:r>
            </w:hyperlink>
          </w:p>
        </w:tc>
      </w:tr>
      <w:tr>
        <w:trPr>
          <w:trHeight w:val="20"/>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rPr>
                <w:sz w:val="15"/>
                <w:szCs w:val="15"/>
                <w:color w:val="auto"/>
              </w:rPr>
            </w:pPr>
          </w:p>
        </w:tc>
        <w:tc>
          <w:tcPr>
            <w:tcW w:w="6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11.</w:t>
              </w:r>
            </w:hyperlink>
          </w:p>
        </w:tc>
        <w:tc>
          <w:tcPr>
            <w:tcW w:w="40" w:type="dxa"/>
            <w:vAlign w:val="bottom"/>
            <w:gridSpan w:val="2"/>
            <w:shd w:val="clear" w:color="auto" w:fill="CCEEFF"/>
          </w:tcPr>
          <w:p>
            <w:pPr>
              <w:spacing w:after="0"/>
              <w:rPr>
                <w:sz w:val="15"/>
                <w:szCs w:val="15"/>
                <w:color w:val="auto"/>
              </w:rPr>
            </w:pPr>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320" w:type="dxa"/>
            <w:vAlign w:val="bottom"/>
            <w:gridSpan w:val="2"/>
            <w:shd w:val="clear" w:color="auto" w:fill="CCEEFF"/>
          </w:tcPr>
          <w:p>
            <w:pPr>
              <w:jc w:val="center"/>
              <w:ind w:right="180"/>
              <w:spacing w:after="0" w:line="176" w:lineRule="exact"/>
              <w:rPr>
                <w:rFonts w:ascii="Arial" w:cs="Arial" w:eastAsia="Arial" w:hAnsi="Arial"/>
                <w:sz w:val="17"/>
                <w:szCs w:val="17"/>
                <w:color w:val="0000EE"/>
                <w:w w:val="73"/>
              </w:rPr>
            </w:pPr>
            <w:hyperlink w:anchor="page18">
              <w:r>
                <w:rPr>
                  <w:rFonts w:ascii="Arial" w:cs="Arial" w:eastAsia="Arial" w:hAnsi="Arial"/>
                  <w:sz w:val="17"/>
                  <w:szCs w:val="17"/>
                  <w:color w:val="0000EE"/>
                  <w:w w:val="73"/>
                </w:rPr>
                <w:t>15</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40" w:type="dxa"/>
            <w:vAlign w:val="bottom"/>
          </w:tcPr>
          <w:p>
            <w:pPr>
              <w:spacing w:after="0"/>
              <w:rPr>
                <w:sz w:val="15"/>
                <w:szCs w:val="15"/>
                <w:color w:val="auto"/>
              </w:rPr>
            </w:pPr>
          </w:p>
        </w:tc>
        <w:tc>
          <w:tcPr>
            <w:tcW w:w="600" w:type="dxa"/>
            <w:vAlign w:val="bottom"/>
            <w:gridSpan w:val="6"/>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12.</w:t>
              </w:r>
            </w:hyperlink>
          </w:p>
        </w:tc>
        <w:tc>
          <w:tcPr>
            <w:tcW w:w="40" w:type="dxa"/>
            <w:vAlign w:val="bottom"/>
            <w:gridSpan w:val="2"/>
          </w:tcPr>
          <w:p>
            <w:pPr>
              <w:spacing w:after="0"/>
              <w:rPr>
                <w:sz w:val="15"/>
                <w:szCs w:val="15"/>
                <w:color w:val="auto"/>
              </w:rPr>
            </w:pPr>
          </w:p>
        </w:tc>
        <w:tc>
          <w:tcPr>
            <w:tcW w:w="10040" w:type="dxa"/>
            <w:vAlign w:val="bottom"/>
            <w:gridSpan w:val="22"/>
          </w:tcPr>
          <w:p>
            <w:pPr>
              <w:ind w:left="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gridSpan w:val="2"/>
          </w:tcPr>
          <w:p>
            <w:pPr>
              <w:jc w:val="center"/>
              <w:ind w:right="180"/>
              <w:spacing w:after="0" w:line="176" w:lineRule="exact"/>
              <w:rPr>
                <w:rFonts w:ascii="Arial" w:cs="Arial" w:eastAsia="Arial" w:hAnsi="Arial"/>
                <w:sz w:val="17"/>
                <w:szCs w:val="17"/>
                <w:color w:val="0000EE"/>
                <w:w w:val="73"/>
              </w:rPr>
            </w:pPr>
            <w:hyperlink w:anchor="page19">
              <w:r>
                <w:rPr>
                  <w:rFonts w:ascii="Arial" w:cs="Arial" w:eastAsia="Arial" w:hAnsi="Arial"/>
                  <w:sz w:val="17"/>
                  <w:szCs w:val="17"/>
                  <w:color w:val="0000EE"/>
                  <w:w w:val="73"/>
                </w:rPr>
                <w:t>16</w:t>
              </w:r>
            </w:hyperlink>
          </w:p>
        </w:tc>
      </w:tr>
      <w:tr>
        <w:trPr>
          <w:trHeight w:val="21"/>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6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13.</w:t>
              </w:r>
            </w:hyperlink>
          </w:p>
        </w:tc>
        <w:tc>
          <w:tcPr>
            <w:tcW w:w="40" w:type="dxa"/>
            <w:vAlign w:val="bottom"/>
            <w:gridSpan w:val="2"/>
            <w:shd w:val="clear" w:color="auto" w:fill="CCEEFF"/>
          </w:tcPr>
          <w:p>
            <w:pPr>
              <w:spacing w:after="0"/>
              <w:rPr>
                <w:sz w:val="15"/>
                <w:szCs w:val="15"/>
                <w:color w:val="auto"/>
              </w:rPr>
            </w:pPr>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Certain Relationships and Related Transactions, and Director Independence.</w:t>
              </w:r>
            </w:hyperlink>
          </w:p>
        </w:tc>
        <w:tc>
          <w:tcPr>
            <w:tcW w:w="320" w:type="dxa"/>
            <w:vAlign w:val="bottom"/>
            <w:gridSpan w:val="2"/>
            <w:shd w:val="clear" w:color="auto" w:fill="CCEEFF"/>
          </w:tcPr>
          <w:p>
            <w:pPr>
              <w:jc w:val="center"/>
              <w:ind w:right="180"/>
              <w:spacing w:after="0" w:line="176" w:lineRule="exact"/>
              <w:rPr>
                <w:rFonts w:ascii="Arial" w:cs="Arial" w:eastAsia="Arial" w:hAnsi="Arial"/>
                <w:sz w:val="17"/>
                <w:szCs w:val="17"/>
                <w:color w:val="0000EE"/>
                <w:w w:val="73"/>
              </w:rPr>
            </w:pPr>
            <w:hyperlink w:anchor="page21">
              <w:r>
                <w:rPr>
                  <w:rFonts w:ascii="Arial" w:cs="Arial" w:eastAsia="Arial" w:hAnsi="Arial"/>
                  <w:sz w:val="17"/>
                  <w:szCs w:val="17"/>
                  <w:color w:val="0000EE"/>
                  <w:w w:val="73"/>
                </w:rPr>
                <w:t>18</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00" w:type="dxa"/>
            <w:vAlign w:val="bottom"/>
            <w:gridSpan w:val="6"/>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14.</w:t>
              </w:r>
            </w:hyperlink>
          </w:p>
        </w:tc>
        <w:tc>
          <w:tcPr>
            <w:tcW w:w="40" w:type="dxa"/>
            <w:vAlign w:val="bottom"/>
            <w:gridSpan w:val="2"/>
          </w:tcPr>
          <w:p>
            <w:pPr>
              <w:spacing w:after="0"/>
              <w:rPr>
                <w:sz w:val="15"/>
                <w:szCs w:val="15"/>
                <w:color w:val="auto"/>
              </w:rPr>
            </w:pPr>
          </w:p>
        </w:tc>
        <w:tc>
          <w:tcPr>
            <w:tcW w:w="10040" w:type="dxa"/>
            <w:vAlign w:val="bottom"/>
            <w:gridSpan w:val="22"/>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Principal Accounting Fees and Services.</w:t>
              </w:r>
            </w:hyperlink>
          </w:p>
        </w:tc>
        <w:tc>
          <w:tcPr>
            <w:tcW w:w="320" w:type="dxa"/>
            <w:vAlign w:val="bottom"/>
            <w:gridSpan w:val="2"/>
          </w:tcPr>
          <w:p>
            <w:pPr>
              <w:jc w:val="center"/>
              <w:ind w:right="180"/>
              <w:spacing w:after="0" w:line="176" w:lineRule="exact"/>
              <w:rPr>
                <w:rFonts w:ascii="Arial" w:cs="Arial" w:eastAsia="Arial" w:hAnsi="Arial"/>
                <w:sz w:val="17"/>
                <w:szCs w:val="17"/>
                <w:color w:val="0000EE"/>
                <w:w w:val="73"/>
              </w:rPr>
            </w:pPr>
            <w:hyperlink w:anchor="page21">
              <w:r>
                <w:rPr>
                  <w:rFonts w:ascii="Arial" w:cs="Arial" w:eastAsia="Arial" w:hAnsi="Arial"/>
                  <w:sz w:val="17"/>
                  <w:szCs w:val="17"/>
                  <w:color w:val="0000EE"/>
                  <w:w w:val="73"/>
                </w:rPr>
                <w:t>18</w:t>
              </w:r>
            </w:hyperlink>
          </w:p>
        </w:tc>
      </w:tr>
      <w:tr>
        <w:trPr>
          <w:trHeight w:val="20"/>
        </w:trPr>
        <w:tc>
          <w:tcPr>
            <w:tcW w:w="2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76"/>
        </w:trPr>
        <w:tc>
          <w:tcPr>
            <w:tcW w:w="880" w:type="dxa"/>
            <w:vAlign w:val="bottom"/>
            <w:gridSpan w:val="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IV</w:t>
              </w:r>
            </w:hyperlink>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gridSpan w:val="2"/>
          </w:tcPr>
          <w:p>
            <w:pPr>
              <w:jc w:val="center"/>
              <w:ind w:right="180"/>
              <w:spacing w:after="0" w:line="176" w:lineRule="exact"/>
              <w:rPr>
                <w:rFonts w:ascii="Arial" w:cs="Arial" w:eastAsia="Arial" w:hAnsi="Arial"/>
                <w:sz w:val="17"/>
                <w:szCs w:val="17"/>
                <w:color w:val="0000EE"/>
                <w:w w:val="73"/>
              </w:rPr>
            </w:pPr>
            <w:hyperlink w:anchor="page23">
              <w:r>
                <w:rPr>
                  <w:rFonts w:ascii="Arial" w:cs="Arial" w:eastAsia="Arial" w:hAnsi="Arial"/>
                  <w:sz w:val="17"/>
                  <w:szCs w:val="17"/>
                  <w:color w:val="0000EE"/>
                  <w:w w:val="73"/>
                </w:rPr>
                <w:t>20</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6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15.</w:t>
              </w:r>
            </w:hyperlink>
          </w:p>
        </w:tc>
        <w:tc>
          <w:tcPr>
            <w:tcW w:w="40" w:type="dxa"/>
            <w:vAlign w:val="bottom"/>
            <w:gridSpan w:val="2"/>
            <w:shd w:val="clear" w:color="auto" w:fill="CCEEFF"/>
          </w:tcPr>
          <w:p>
            <w:pPr>
              <w:spacing w:after="0"/>
              <w:rPr>
                <w:sz w:val="15"/>
                <w:szCs w:val="15"/>
                <w:color w:val="auto"/>
              </w:rPr>
            </w:pPr>
          </w:p>
        </w:tc>
        <w:tc>
          <w:tcPr>
            <w:tcW w:w="10040" w:type="dxa"/>
            <w:vAlign w:val="bottom"/>
            <w:tcBorders>
              <w:right w:val="single" w:sz="8" w:color="CCEEFF"/>
            </w:tcBorders>
            <w:gridSpan w:val="22"/>
            <w:shd w:val="clear" w:color="auto" w:fill="CCEEFF"/>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 and Financial Statement Schedules.</w:t>
              </w:r>
            </w:hyperlink>
          </w:p>
        </w:tc>
        <w:tc>
          <w:tcPr>
            <w:tcW w:w="320" w:type="dxa"/>
            <w:vAlign w:val="bottom"/>
            <w:gridSpan w:val="2"/>
            <w:shd w:val="clear" w:color="auto" w:fill="CCEEFF"/>
          </w:tcPr>
          <w:p>
            <w:pPr>
              <w:jc w:val="center"/>
              <w:ind w:right="180"/>
              <w:spacing w:after="0" w:line="176" w:lineRule="exact"/>
              <w:rPr>
                <w:rFonts w:ascii="Arial" w:cs="Arial" w:eastAsia="Arial" w:hAnsi="Arial"/>
                <w:sz w:val="17"/>
                <w:szCs w:val="17"/>
                <w:color w:val="0000EE"/>
                <w:w w:val="73"/>
              </w:rPr>
            </w:pPr>
            <w:hyperlink w:anchor="page23">
              <w:r>
                <w:rPr>
                  <w:rFonts w:ascii="Arial" w:cs="Arial" w:eastAsia="Arial" w:hAnsi="Arial"/>
                  <w:sz w:val="17"/>
                  <w:szCs w:val="17"/>
                  <w:color w:val="0000EE"/>
                  <w:w w:val="73"/>
                </w:rPr>
                <w:t>20</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00" w:type="dxa"/>
            <w:vAlign w:val="bottom"/>
            <w:gridSpan w:val="6"/>
          </w:tcPr>
          <w:p>
            <w:pPr>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16.</w:t>
              </w:r>
            </w:hyperlink>
          </w:p>
        </w:tc>
        <w:tc>
          <w:tcPr>
            <w:tcW w:w="40" w:type="dxa"/>
            <w:vAlign w:val="bottom"/>
            <w:gridSpan w:val="2"/>
          </w:tcPr>
          <w:p>
            <w:pPr>
              <w:spacing w:after="0"/>
              <w:rPr>
                <w:sz w:val="15"/>
                <w:szCs w:val="15"/>
                <w:color w:val="auto"/>
              </w:rPr>
            </w:pPr>
          </w:p>
        </w:tc>
        <w:tc>
          <w:tcPr>
            <w:tcW w:w="10040" w:type="dxa"/>
            <w:vAlign w:val="bottom"/>
            <w:gridSpan w:val="22"/>
          </w:tcPr>
          <w:p>
            <w:pPr>
              <w:ind w:left="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Form 10-K Summary.</w:t>
              </w:r>
            </w:hyperlink>
          </w:p>
        </w:tc>
        <w:tc>
          <w:tcPr>
            <w:tcW w:w="320" w:type="dxa"/>
            <w:vAlign w:val="bottom"/>
            <w:gridSpan w:val="2"/>
          </w:tcPr>
          <w:p>
            <w:pPr>
              <w:jc w:val="center"/>
              <w:ind w:right="180"/>
              <w:spacing w:after="0" w:line="176" w:lineRule="exact"/>
              <w:rPr>
                <w:rFonts w:ascii="Arial" w:cs="Arial" w:eastAsia="Arial" w:hAnsi="Arial"/>
                <w:sz w:val="17"/>
                <w:szCs w:val="17"/>
                <w:color w:val="0000EE"/>
                <w:w w:val="73"/>
              </w:rPr>
            </w:pPr>
            <w:hyperlink w:anchor="page25">
              <w:r>
                <w:rPr>
                  <w:rFonts w:ascii="Arial" w:cs="Arial" w:eastAsia="Arial" w:hAnsi="Arial"/>
                  <w:sz w:val="17"/>
                  <w:szCs w:val="17"/>
                  <w:color w:val="0000EE"/>
                  <w:w w:val="73"/>
                </w:rPr>
                <w:t>21</w:t>
              </w:r>
            </w:hyperlink>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references to the “Company” and to “we,” “us,” and “our” refer to 890 5th Avenue Partners, Inc., except where the context requires otherwise.</w:t>
      </w:r>
    </w:p>
    <w:p>
      <w:pPr>
        <w:spacing w:after="0" w:line="170"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We are a blank check company incorporated on September 9, 2020, as a Delaware corporation and formed for the purpose of effecting a merger, capital stock exchange, asset acquisition, stock purchase, reorganization or similar business combination with one or more businesses (“Business Combination”). While we may pursue an acquisition opportunity in any business, industry, sector or geography, we intend to focus on industries that align well with the relationships and experience of our team and sponsor. We will seek to capitalize on the exceptional operating experience, capital markets expertise and vast network of our management team and advisors across the technology, media and telecommunications sectors.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15, 2020, our sponsor, 200 Park Avenue Partners, LLC, a Delaware limited liability company (“Sponsor”), purchased an aggregate of 7,187,500 shares of common stock, par value $0.0001 per share, which shares were later designated as shares of Class F common stock, par value $0.0001 per share (the “Founder Shares”), for an aggregate purchase price of $25,000, or approximately $0.003 per share. In December 2020, our Sponsor sold 621,222 Founder Shares to PA 2 Co-Investment LLC (“PA 2 Co-Investment”). In January 2021, our Sponsor sold an aggregate of 266,238 Founder Shares to Craig-Hallum Capital Group LLC (“Craig-Hallum”) and its affiliate and an aggregate of 105,000 Founder Shares to our independent director nominees (20,000 Founder Shares to each of Linda Yaccarino, Scott Flanders, David Bank and Jon Jashni, and 25,000 Founder Shares to Kelli Turner), in each case at their original per share purchase price. 937,500 of the Founder Shares were subject to forfeiture depending upon the extent to which the underwriters did not exercise their over-allotment option with respect to our Initial Public Offering (as defined below).</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14, 2021, we consummated our initial public offering (the “Initial Public Offering”) of 28,750,000 units (“Units”), which included the full exercise of the underwriters’ over-allotment option. Each Unit consists of one share of Class A common stock, par value $0.0001 per share (“Class A Common Stock”), and one-third of one redeemable warrant (“Warrant”), each whole Warrant entitling the holder thereof to purchase one share of Class A Common Stock at an exercise price of $11.50 per share, subject to adjustment. The Units were sold at an offering price of $10.00 per Unit, generating gross proceeds to the Company of $287,500,000.</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Simultaneously with the consummation of our Initial Public Offering, we consummated the private placement of an aggregate of 777,500 units (the “Private Placement Units”) to our Sponsor, PA 2 Co-Investment, Craig-Hallum and John Lipman at a price of $10.00 per Private Placement Unit, generating total gross proceeds to the Company of $7,775,000 (the “Private Placement”). In the Private Placement, our Sponsor purchased 657,500 Private Placement Units, PA 2 Co-Investment purchased 84,000 Private Placement Units, Craig-Hallum purchased 18,000 Private Placement Units and John Lipman purchased 18,000 Private Placement Units. The Private Placement Units are identical to the Units, except that the Private Placement Units (including the underlying securities) are subject to certain transfer restrictions and the holders thereof are entitled to certain registration rights, and, if held by the original holder or their permitted assigns, the underlying warrants (i) may be exercised on a cashless basis, (ii) are not subject to redemption and</w:t>
      </w:r>
    </w:p>
    <w:p>
      <w:pPr>
        <w:spacing w:after="0" w:line="2" w:lineRule="exact"/>
        <w:rPr>
          <w:sz w:val="20"/>
          <w:szCs w:val="20"/>
          <w:color w:val="auto"/>
        </w:rPr>
      </w:pPr>
    </w:p>
    <w:p>
      <w:pPr>
        <w:jc w:val="both"/>
        <w:ind w:firstLine="8"/>
        <w:spacing w:after="0" w:line="253" w:lineRule="auto"/>
        <w:tabs>
          <w:tab w:leader="none" w:pos="333"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such warrants held by PA 2 Co-Investment, Craig-Hallum and John Lipman, will not be exercisable more than five years from the commencement of sales in the Initial Public Offering. If the Private Placement Units are held by holders other than the initial purchasers or their permitted transferees, then the warrants included in the Private Placement Units will be redeemable by the Company and exercisable by the holders on the same basis as the warrants included in the Units sold in the Initial Public Offering.</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the closing of the over-allotment option and sale of additional Private Placement Units, an aggregate amount of $287,500,000 of the net proceeds from the Initial Public Offering and the Private Placement has been placed in the trust account established in connection with the Initial Public Offering.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Transaction costs amounted to approximately $6,221,000 in the aggregate consisting of $5,750,000 of underwriting fees and approximately $471,000 of other offering costs. In addition, approximately $1,554,000 of cash was available for working capital purposes, unused portions of which are held outside of the trust account established in connection with the Initial Public Offering.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the underwriters’ exercise of the over-allotment option in full, 937,500 of the Founder Shares are no longer subject to forfeiture.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details regarding our business, see the section titled “Proposed Business” contained in our prospectus dated January 11, 2021,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risks relating to our operations, see the section titled “Risk Factors” contained in our prospectus dated January 11, 2021,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currently maintain our executive offices at 14 Elm Place, Suite 206, Rye, New York 10580. The cost for this space and any successor space is included in a $20,000 per month fee that we pay to our Sponsor for office space, utilities, general office and secretarial support, and administrative and support services. We consider our current office space adequate for our current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Units are listed on the Nasdaq Capital Market (“Nasdaq”) under the symbol “ENFAU.” Commencing on March 5, 2021, holders of the Units could elect to separately trade the Class A Common Stock and Warrants comprising the Units. The Class A Common Stock and Warrants that are separated trade on Nasdaq under the symbols “ENFA” and “ENFAW,” respectively. Those Units not separated continue to trade on Nasdaq under the symbol “ENFAU.”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there was 1 holder of record of our Units, 1 holder of record of our Class A Common Stock, 9 holders of record of our Class F Common Stock, 1 holder of record of our Warrants, and 4 holders of record of our Private Placement Units. The actual number of holders is greater than this number of registered record holders, and includes holders who are beneficial owners, but whose shares are held in “street name” by brokers and other nominees.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15, 2020, our Sponsor purchased an aggregate of 7,187,500 Founder Shares for an aggregate purchase price of $25,000, or approximately $0.003 per share, in connection with our organization. Such shares were issued in connection with our organization pursuant to the exemption from registration contained in Section 4(a)(2) of the Securities Act of 1933, as amended (“Securities Act”).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14, 2021, the Company consummated the Initial Public Offering of 28,750,000 Units, which included the full exercise of the underwriters’ over-allotment option. Each Unit consists of one share of Class A Common Stock, and one-third of one redeemable Warrant, each whole Warrant entitling the holder thereof to purchase one share of Class A Common Stock at an exercise price of $11.50 per share, subject to adjustment. The Units were sold at an offering price of $10.00 per Unit, generating gross proceeds to the Company of $287,500,000.</w:t>
      </w:r>
    </w:p>
    <w:p>
      <w:pPr>
        <w:spacing w:after="0" w:line="17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January 14, 2021, simultaneously with the consummation of the Initial Public Offering, the Company consummated the private placement of an aggregate of 777,500 Private Placement Units to the Sponsor, PA 2 Co-Investment, Craig-Hallum and John Lipman at a price of $10.00 per Private Placement Unit, generating total gross proceeds of $7,775,000. No underwriting discounts or commissions were paid with respect to the Private Placement. The Private Placement was conducted as a non-public transaction and, as a transaction by an issuer not involving a public offering, is exempt from registration under the Securities Act in reliance upon Section 4(a)(2) of the Securities Act. In the Private Placement, the Sponsor purchased 657,500 Private Placement Units, PA 2 Co-Investment purchased 84,000 Private Placement Units, Craig-Hallum purchased 18,000 Private Placement Units and John Lipman purchased 18,000 Private Placement Units. The Private Placement Units are identical to the Units, except that the Private Placement Units (including the underlying securities) are subject to certain transfer restrictions and the holders thereof are entitled to certain registration rights, and, if held by the original holder or their permitted assigns, the underlying warrants (i) may be exercised on a cashless basis, (ii) are not subject to redemption and</w:t>
      </w:r>
    </w:p>
    <w:p>
      <w:pPr>
        <w:spacing w:after="0" w:line="6" w:lineRule="exact"/>
        <w:rPr>
          <w:sz w:val="20"/>
          <w:szCs w:val="20"/>
          <w:color w:val="auto"/>
        </w:rPr>
      </w:pPr>
    </w:p>
    <w:p>
      <w:pPr>
        <w:jc w:val="both"/>
        <w:ind w:firstLine="8"/>
        <w:spacing w:after="0" w:line="253"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respect to such warrants held by PA 2 Co-Investment, Craig-Hallum and John Lipman, will not be exercisable more than five years from the commencement of sales in the Initial Public Offering. If the Private Placement Units are held by holders other than the initial purchasers or their permitted transferees, then the warrants included in the Private Placement Units will be redeemable by the Company and exercisable by the holders on the same basis as the warrants included in the Units sold in the Initial Public Offering.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Transaction costs amounted to approximately $6,221,000 in the aggregate consisting of $5,750,000 of underwriting fees and approximately $471,000 of other offering costs. In addition, approximately $1,554,000 of cash was available for working capital purposes, unused portions of which are held outside of the trust account established in connection with the Initial Public Offering.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not previously released to us (less taxes payable) to complete our initial Business Combination. We may withdraw interest to pay our franchise and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use the funds held outside the trust account primarily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 blank check company incorporated in Delaware on September 9, 2020. We were formed for the purpose of effecting a merger, capital stock exchange, asset acquisition, stock purchase, reorganization or similar Business Combination with one or more businesses or entities.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Our Sponsor is 200 Park Avenue Partners, LLC, a Delaware limited liability company. The registration statement for our Initial Public Offering was declared effective on January 11, 2021. On January 14, 2021, we consummated our Initial Public Offering of 28,750,000 Units (and the Class A Common Stock included in the Units being offered, the “Public Shares”), including 3,750,000 additional Units to cover over-allotments, at $10.00 per Unit, generating gross proceeds of $287.5 million, and incurring offering costs of approximately $6.2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Simultaneously with the closing of the Initial Public Offering, we consummated the private placement of 777,500 Private Placement Units at a price of $10.00 per Private Placement Unit to the Sponsor, PA 2 Co-Investment (an affiliate of Cowen and Company, LLC, a representative of the underwriters), and Craig-Hallum (a representative of the underwriters) and its affiliate, generating proceeds of approximately $7.8 million.</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$287.5 million ($10.00 per Unit) of the net proceeds of the Initial Public Offering and certain of the proceeds of the Private Placement was placed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the Business Combination and (ii) the distribution of the Trust Account as described below.</w:t>
      </w:r>
    </w:p>
    <w:p>
      <w:pPr>
        <w:spacing w:after="0" w:line="16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we are unable to complete a Business Combination within 24 months from the closing of the Initial Public Offering, or January 14, 2023 (the “Combination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4" w:lineRule="exact"/>
        <w:rPr>
          <w:sz w:val="20"/>
          <w:szCs w:val="20"/>
          <w:color w:val="auto"/>
        </w:rPr>
      </w:pPr>
    </w:p>
    <w:p>
      <w:pPr>
        <w:jc w:val="both"/>
        <w:ind w:firstLine="8"/>
        <w:spacing w:after="0" w:line="255" w:lineRule="auto"/>
        <w:tabs>
          <w:tab w:leader="none" w:pos="28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the remaining stockholders and the board of directors, dissolve and liquidate, subject in each case to the Company’s obligations under Delaware law to provide for claims of creditors and the requirements of other applicable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entire activity since inception through December 31, 2020 related to our formation, and the preparation for the Initial Public Offering. We have neither engaged in any operations nor generated any revenues to date. We will not generate any operating revenues until after completion of our initial Business Combination. Subsequent to the closing of the Initial Public Offering our activity includes the search for a prospective initial Business Combination and generation of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September 9, 2020 (inception) to December 31, 2020 we had net loss of approximately $11,000, which consisted solely of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approximately $202,000 in cash and working capital deficit of approximately $325,000.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p>
      <w:pPr>
        <w:jc w:val="both"/>
        <w:ind w:firstLine="648"/>
        <w:spacing w:after="0" w:line="293" w:lineRule="auto"/>
        <w:rPr>
          <w:sz w:val="20"/>
          <w:szCs w:val="20"/>
          <w:color w:val="auto"/>
        </w:rPr>
      </w:pPr>
      <w:r>
        <w:rPr>
          <w:rFonts w:ascii="Arial" w:cs="Arial" w:eastAsia="Arial" w:hAnsi="Arial"/>
          <w:sz w:val="16"/>
          <w:szCs w:val="16"/>
          <w:color w:val="auto"/>
        </w:rPr>
        <w:t>Through December 31, 2020, our liquidity needs were satisfied through the receipt of $25,000 from our Sponsor in exchange for the issuance of the Founder Shares, the proceeds of the Note (as defined below) from our Sponsor of $300,000, and approximately $13,000 in advances from a related party. We repaid the Note in full on January 14, 2021 and reimbursed the advances from the related party in full in February 2021. Subsequent to the consummation of the Initial Public Offering and Private Placement, our liquidity needs have been satisfied with the proceeds from the consummation of the Private Placement not held in the Trust Account. In addition, in order to finance transaction costs in connection with a Business Combination, our Sponsor, members of our management team or any of their affiliates or other third parties, may, but are not obligated to, provide us working capital loans.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the foregoing, our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our financial position, results of our operations and/or our search for a target company, the specific impact is not readily determinable as of the date of the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October 2020, our Sponsor purchased 7,187,500 shares of our Founder Shares for an aggregate price of $25,000. The initial stockholders agreed to forfeit up to 937,500 Founder Shares to the extent that the over-allotment option was not exercised in full by the underwriters, so that the Founder Shares would represent 20% of our issued and outstanding shares after the Initial Public Offering (excluding the shares comprising the Private Placement Units). The underwriter exercised its over-allotment option in full on January 14, 2021; thus, the 937,500 Founder Shares were no longer subject to forfeiture.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stockholders agreed, subject to limited exceptions, not to transfer, assign or sell any of the Founder Shares until the earlier to occur of:</w:t>
      </w:r>
    </w:p>
    <w:p>
      <w:pPr>
        <w:spacing w:after="0" w:line="46" w:lineRule="exact"/>
        <w:rPr>
          <w:sz w:val="20"/>
          <w:szCs w:val="20"/>
          <w:color w:val="auto"/>
        </w:rPr>
      </w:pPr>
    </w:p>
    <w:p>
      <w:pPr>
        <w:jc w:val="both"/>
        <w:ind w:firstLine="8"/>
        <w:spacing w:after="0" w:line="252" w:lineRule="auto"/>
        <w:tabs>
          <w:tab w:leader="none" w:pos="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year after the completion of the initial Business Combination or (B) subsequent to the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following the completion of the initial Business Combination on which the Company completes a liquidation, merger, stock exchange, reorganization or other similar transaction that results in all of the stockholders having the right to exchange their shares of Class A Common Stock for cash, securities or other property.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of 777,500 Private Placement Units at a price of $10.00 per Private Placement Unit to the Sponsor, PA 2 Co-Investment, and Craig-Hallum and its affiliate, generating proceeds of approximately $7.8 million.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Private Placement Units (including the shares comprising the Private Placement Units and the Private Placement Warrants (as defined below) and shares of Class A Common Stock issuable upon exercise of such Private Placement Warrants) are not transferable or salable until 30 days after the completion of the initial Business Combination.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whole private placement warrant underlying the Private Placement Units (the “Private Placement Warrants”) is exercisable for one whole share of Class A Common Stock at a price of $11.50 per share. A portion of the proceeds from the Private Placement Units has been added to the proceeds from the Initial Public Offering to be held in the Trust Account. If we do not complete a Business Combination within the Combination Period, the Private Placement Units and the underlying securities will expire worthless.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right="20" w:firstLine="648"/>
        <w:spacing w:after="0" w:line="277" w:lineRule="auto"/>
        <w:rPr>
          <w:sz w:val="20"/>
          <w:szCs w:val="20"/>
          <w:color w:val="auto"/>
        </w:rPr>
      </w:pPr>
      <w:r>
        <w:rPr>
          <w:rFonts w:ascii="Arial" w:cs="Arial" w:eastAsia="Arial" w:hAnsi="Arial"/>
          <w:sz w:val="18"/>
          <w:szCs w:val="18"/>
          <w:color w:val="auto"/>
        </w:rPr>
        <w:t>Our Sponsor, officers and directors agreed, subject to limited exceptions, not to transfer, assign or sell any of their Private Placement Units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15, 2020, our Sponsor agreed to loan us an aggregate of up to $300,000 to cover expenses related to the Initial Public Offering pursuant to a promissory note (the “Note”). This loan was non-interest bearing and payable upon the completion of the Initial Public Offering. The Company borrowed $300,000 under the Note as of December 31, 2020 and repaid the Note in full on January 14, 2021. In addition, an affiliate of our Sponsor advanced approximately $13,000 to cover for certain expenses on behalf of us and we reimbursed the advances from the affiliate of our Sponsor in full in February 2021.</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in order to finance transaction costs in connection with a Business Combination, our Sponsor, members of our management team or any of their affiliates or other third parties may, but are not obligated to, loan us funds as may be required (“Working Capital Loans”). If we complete a Business Combination, we would repay the Working Capital Loans out of the proceeds of the Trust Account released to us. Otherwise, the Working Capital Loans would be repaid only out of funds held outside the Trust Account. In the event that a Business Combination does not close, we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units of the post-Business Combination entity at a price of $10.00 per unit at the option of the lender. The units would be identical to the Private Placement Units. Except for the foregoing, the terms of such Working Capital Loans, if any, have not been determined and no written agreements exist with respect to such loans. To date, the Company had no borrowings under the Working Capital Loans.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we registered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of the listing of the Units on the Nasdaq Capital Market through the earlier of the consummation of the initial Business Combination or our liquidation, we will pay the Sponsor $20,000 per month for office space, utilities, general office and secretarial support, and administrative and support services.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the Sponsor, executive officers and directors, or any of their respective affiliates will be reimbursed for any out-of-pocket expenses incurred in connection with activities on our behalf such as identifying potential partner businesses and performing due diligence on suitable Business Combinations. Our audit committee will review on a quarterly basis all payments that were made by us to the Sponsor, executive officers or directors, or the Company's or their affiliates. Any such payments prior to an initial Business Combination will be made using funds held outside the Trust Account.</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Item 303(a)(4)(ii) of Regulation S-K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Generally Accepted Accounting Principles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pronouncements,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Pages F-1 through F-16 comprising a portion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principal executive officer and principal financial and accounting officer, as appropriate to allow timely decisions regarding required disclosure. Our management evaluated, with the participation of our principal executive officer and principal financial and accounting officers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and executive officers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420" w:type="dxa"/>
            <w:vAlign w:val="bottom"/>
          </w:tcPr>
          <w:p>
            <w:pPr>
              <w:ind w:left="3520"/>
              <w:spacing w:after="0"/>
              <w:rPr>
                <w:sz w:val="20"/>
                <w:szCs w:val="20"/>
                <w:color w:val="auto"/>
              </w:rPr>
            </w:pPr>
            <w:r>
              <w:rPr>
                <w:rFonts w:ascii="Arial" w:cs="Arial" w:eastAsia="Arial" w:hAnsi="Arial"/>
                <w:sz w:val="18"/>
                <w:szCs w:val="18"/>
                <w:b w:val="1"/>
                <w:bCs w:val="1"/>
                <w:color w:val="auto"/>
              </w:rPr>
              <w:t>Title</w:t>
            </w:r>
          </w:p>
        </w:tc>
      </w:tr>
      <w:tr>
        <w:trPr>
          <w:trHeight w:val="41"/>
        </w:trPr>
        <w:tc>
          <w:tcPr>
            <w:tcW w:w="2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385"/>
        </w:trPr>
        <w:tc>
          <w:tcPr>
            <w:tcW w:w="3060" w:type="dxa"/>
            <w:vAlign w:val="bottom"/>
            <w:gridSpan w:val="2"/>
          </w:tcPr>
          <w:p>
            <w:pPr>
              <w:spacing w:after="0"/>
              <w:rPr>
                <w:sz w:val="20"/>
                <w:szCs w:val="20"/>
                <w:color w:val="auto"/>
              </w:rPr>
            </w:pPr>
            <w:r>
              <w:rPr>
                <w:rFonts w:ascii="Arial" w:cs="Arial" w:eastAsia="Arial" w:hAnsi="Arial"/>
                <w:sz w:val="18"/>
                <w:szCs w:val="18"/>
                <w:color w:val="auto"/>
              </w:rPr>
              <w:t>Adam Rothstein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Executive Chairman, Secretary and Director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Emiliano Calemzuk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Michael Del Nin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Chief Operating Officer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Linda Yaccarino</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Kelli Turner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9"/>
        </w:trPr>
        <w:tc>
          <w:tcPr>
            <w:tcW w:w="3060" w:type="dxa"/>
            <w:vAlign w:val="bottom"/>
            <w:gridSpan w:val="2"/>
          </w:tcPr>
          <w:p>
            <w:pPr>
              <w:spacing w:after="0"/>
              <w:rPr>
                <w:sz w:val="20"/>
                <w:szCs w:val="20"/>
                <w:color w:val="auto"/>
              </w:rPr>
            </w:pPr>
            <w:r>
              <w:rPr>
                <w:rFonts w:ascii="Arial" w:cs="Arial" w:eastAsia="Arial" w:hAnsi="Arial"/>
                <w:sz w:val="18"/>
                <w:szCs w:val="18"/>
                <w:color w:val="auto"/>
              </w:rPr>
              <w:t>David Bank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Scott Flanders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Jon Jashni</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Adam Rothstein </w:t>
      </w:r>
      <w:r>
        <w:rPr>
          <w:rFonts w:ascii="Arial" w:cs="Arial" w:eastAsia="Arial" w:hAnsi="Arial"/>
          <w:sz w:val="17"/>
          <w:szCs w:val="17"/>
          <w:color w:val="auto"/>
        </w:rPr>
        <w:t>has served as an executive officer and a member of our board of directors since our inception. Mr. Rothstein has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Chairman since inception and our Secretary since December 2020. Mr. Rothstein also had served as our President, Chief Executive Officer, Treasurer and Secretary from inception until November 2020. Mr. Rothstein is a Co-Founder and General Partner of Disruptive Technology Partners, an Israeli technology-focused early-stage investment fund, and Disruptive Growth, a collection of late-stage investment vehicles focused on Israeli technology, which he co-founded in 2013 and 2014 respectively. Since 2014, Mr. Rothstein has been the Managing Member of 1007 Mountain Drive Partners, LLC, which is both a consulting and investment vehicle. Mr. Rothstein is also a sponsor and director of Roth CH Acquisition II Co. (NASDAQ: ROCC, ROCCW, ROCCU) and Roth CH Acquisition III Co. (NASDAQ: ROCRU), which are special purpose acquisition companies. Previously, from July 2019 until January 2021, Mr. Rothstein was a director of Subversive Capital Acquisition Corp. (NEO: SVC.A.U) (OTCQX: SBVCF), a special purpose acquisition company that partnered with Shawn “Jay-Z” Carter and Roc Nation in January 2021 to acquire CMG Partners Inc. and Left Coast Ventures, Inc. and which now trades as TPCO Holding Corp. (NEO: GRAM.U) (OTCQX: GRAMF). Additionally, from February 2020 until March 2021, Mr. Rothstein was a director of Roth CH Acquisition I Co. (NASDAQ: ROCH), a special purpose acquisition company that acquired PureCycle Technologies LLC and which now trades as PureCycle Technologies, Inc. (NASDAQ: PCT, PCTTW, PCTTU). Mr. Rothstein has over 20 years of investment experience, and currently sits on the boards of directors of several early- and mid-stage technology and media companies both in the US and in Israel and is on the Advisory Board for the Leeds School of Business at the University of Colorado, Boulder. Mr. Rothstein graduated summa cum laude with a Bachelor of Science in Economics from the Wharton School of Business at the University of Pennsylvania and has a Master of Philosophy (MPhil) in Finance from the University of Cambridge. We believe Mr. Rothstein is well-qualified to serve as a member of the board due to his business experience, as well as his contacts and relationships.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Emiliano Calemzuk </w:t>
      </w:r>
      <w:r>
        <w:rPr>
          <w:rFonts w:ascii="Arial" w:cs="Arial" w:eastAsia="Arial" w:hAnsi="Arial"/>
          <w:sz w:val="16"/>
          <w:szCs w:val="16"/>
          <w:color w:val="auto"/>
        </w:rPr>
        <w:t>serves as our Chief Executive Officer and a member of our board of directors since November 2020. Mr. Calemzuk is a</w:t>
      </w:r>
      <w:r>
        <w:rPr>
          <w:rFonts w:ascii="Arial" w:cs="Arial" w:eastAsia="Arial" w:hAnsi="Arial"/>
          <w:sz w:val="16"/>
          <w:szCs w:val="16"/>
          <w:b w:val="1"/>
          <w:bCs w:val="1"/>
          <w:color w:val="auto"/>
        </w:rPr>
        <w:t xml:space="preserve"> </w:t>
      </w:r>
      <w:r>
        <w:rPr>
          <w:rFonts w:ascii="Arial" w:cs="Arial" w:eastAsia="Arial" w:hAnsi="Arial"/>
          <w:sz w:val="16"/>
          <w:szCs w:val="16"/>
          <w:color w:val="auto"/>
        </w:rPr>
        <w:t>media executive and entrepreneur with 20 years of experience in the international media and management space. He currently serves as the Lead Independent Director and Chairman of the Nominating and Corporate Governance at MercadoLibre, Inc. (Nasdaq: MELI), an e-commerce and payments platform in Latin America. Mr. Calemzuk was recently Co-Founder and CEO of RAZE, a Los Angeles-based media venture which produces traditional and social content geared toward a Hispanic and Latin American audience in the United States. In 2015 and 2016 Mr. Calemzuk partnered with Time Inc., publisher of Time, Sports Illustrated, People, and other major magazine titles to assist with Time Inc.’s entry into digital video. In 2013 and 2014 Mr. Calemzuk joined Jeff Sagansky’s and Harry Sloan’s $400 million special purpose acquisition company, Silver Eagle Acquisition Company, as target company Chief Executive Officer designate. Mr. Calemzuk had a 14-year career at 21st Century Fox / News Corp in the C-suite. He served as Chief Executive Officer of Shine Group Americas, a unit of 21st Century Fox, from 2010 to 2012. In this capacity Mr. Calemzuk oversaw scripted and non-scripted television series. From 2007 to 2010, Mr. Calemzuk served as President of Fox Television Studios. From 2002 to 2007 Mr. Calemzuk was based in Rome, Italy, as President of FOX International Channels Europe where he managed the operation of the FOX Italian TV group. In addition, Mr. Calemzuk supervised the FOX operation in Spain, France, Germany, Turkey, and Eastern Europe. Before moving to Rome, Mr. Calemzuk was Vice President and Deputy Managing Director of FOX Latin American Channels. In 2000 Mr. Calemzuk held the post of General Manager of Fox Kids Latin America. Mr. Calemzuk was born in Mar del Plata, Argentina, and is a cum laude graduate of the University of Pennsylvania. We believe Mr. Calemzuk is well-qualified to serve as a member of the board due to his business experience, as well as his contacts and relationships.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Michael Del Nin </w:t>
      </w:r>
      <w:r>
        <w:rPr>
          <w:rFonts w:ascii="Arial" w:cs="Arial" w:eastAsia="Arial" w:hAnsi="Arial"/>
          <w:sz w:val="16"/>
          <w:szCs w:val="16"/>
          <w:color w:val="auto"/>
        </w:rPr>
        <w:t>has served as our Chief Financial Officer and Chief Operating Officer since January 11, 2021. Mr. Del Nin was the Co-Chief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Central European Media Enterprises Ltd. (Nasdaq: CETV), one of Europe’s leading television broadcasters, from September 2013 until its sale in October 2020, and was a member of its Board of Directors from October 2009 until September 2013. Mr. Del Nin previously was the Senior Vice President of International and Corporate Strategy at Time Warner Inc. from 2008 until 2013, in which capacity he helped drive Time Warner Inc.’s global strategy and business development initiatives, with a particular focus on international operations and investments. From 2006 to 2008, Mr. Del Nin was the Senior Vice President responsible for Mergers and Acquisitions at Time Warner Inc. Mr. Del Nin’s prior experience includes roles at New Line Cinema, as Senior Vice President, Business Development, and as an investment banker at Salomon Smith Barney focused on the media industry. Mr. Del Nin holds an undergraduate business degree from Bocconi University and a law degree from the University of New South Wales.</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Linda Yaccarino </w:t>
      </w:r>
      <w:r>
        <w:rPr>
          <w:rFonts w:ascii="Arial" w:cs="Arial" w:eastAsia="Arial" w:hAnsi="Arial"/>
          <w:sz w:val="18"/>
          <w:szCs w:val="18"/>
          <w:color w:val="auto"/>
        </w:rPr>
        <w:t>has served as a member of our board of directors since January 11, 2021. As Chairman of Global Advertising and Partnerships</w:t>
      </w:r>
      <w:r>
        <w:rPr>
          <w:rFonts w:ascii="Arial" w:cs="Arial" w:eastAsia="Arial" w:hAnsi="Arial"/>
          <w:sz w:val="18"/>
          <w:szCs w:val="18"/>
          <w:b w:val="1"/>
          <w:bCs w:val="1"/>
          <w:color w:val="auto"/>
        </w:rPr>
        <w:t xml:space="preserve"> </w:t>
      </w:r>
      <w:r>
        <w:rPr>
          <w:rFonts w:ascii="Arial" w:cs="Arial" w:eastAsia="Arial" w:hAnsi="Arial"/>
          <w:sz w:val="18"/>
          <w:szCs w:val="18"/>
          <w:color w:val="auto"/>
        </w:rPr>
        <w:t>at NBCUniversal, Ms. Yaccarino is responsible for managing over $10 billion in revenue annually and stewarding the company’s industry-leading portfolio of linear networks, digital platforms, distribution partnerships, and client relationships. At NBCUniversal, Ms. Yaccarino, with the help of her 1,500-person team, connects established and emerging brands to hundreds of millions of viewers. Ms. Yaccarino also leads a joint Global Advertising &amp; Partnerships team at NBCUniversal, which oversees the company’s One Platform offering worldwide. Ms. Yaccarino is the Chairman of the World Economic Forum’s Taskforce on Future of Work, and the Vice Chairman of The Advertising Council. Ms. Yaccarino sits on the Board of Directors of Ascena Retail Group (OTC: ASNAQ) and is a member of the President’s Council on Sports, Fitness, and Nutrition. Ms. Yaccarino is a graduate of Pennsylvania State University. We believe Ms. Yaccarino is well-qualified to serve as a member of the board due to her business experience, as well as her contacts and relationships.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Kelli Turner </w:t>
      </w:r>
      <w:r>
        <w:rPr>
          <w:rFonts w:ascii="Arial" w:cs="Arial" w:eastAsia="Arial" w:hAnsi="Arial"/>
          <w:sz w:val="16"/>
          <w:szCs w:val="16"/>
          <w:color w:val="auto"/>
        </w:rPr>
        <w:t>has served as a member of our board of directors since January 11, 2021. Ms. Turner is currently President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at SESAC, Inc., a music rights licensing company. She is also general partner of RSL Venture Partners. She recently joined the Board of Directors of DoubleVerify, a leading software platform for digital media measurement and analytics, and was on the Board of Directors of Central European Media Enterprises Ltd. (Nasdaq: CETV), a media and entertainment company operating in Central and Eastern European markets, until its sale in October 2020. She was previously President and Chief Financial Officer of RSL Management Corporation from February 2011 to April 2012. Ms. Turner previously was Chief Financial Officer and Executive Vice President of Martha Stewart Living Omnimedia, Inc., a diversified media and merchandising company, from 2009 to 2011, where she was responsible for all aspects of the company’s financial operations, while working closely with the executive team in shaping Martha Stewart Living Omnimedia, Inc.’s business strategy and capital allocation process. A lawyer and a registered certified public accountant with significant experience in the media industry, Ms. Turner joined Martha Stewart Living Omnimedia, Inc. in 2009 from Time Warner Inc., where she held the position of Senior Vice President, Operations in the Office of the Chairman and Chief Executive Officer. Prior to that, she served as Senior Vice President, Business Development for New Line Cinema from 2006 to 2007 after having served as Time Warner Inc.’s Vice President, Investor Relations from 2004 to 2006. Ms. Turner worked in investment banking for years with positions at Allen &amp; Company and Salomon Smith Barney prior to joining Time Warner Inc. Early in her career, she also gained tax and audit experience as a certified public accountant at Ernst &amp; Young, LLP. Ms. Turner received her undergraduate business degree and her law degree from the University of Michigan. We believe Ms. Turner is well-qualified to serve as a member of the board due to her business experience, as well as her contacts and relationships.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David Bank </w:t>
      </w:r>
      <w:r>
        <w:rPr>
          <w:rFonts w:ascii="Arial" w:cs="Arial" w:eastAsia="Arial" w:hAnsi="Arial"/>
          <w:sz w:val="16"/>
          <w:szCs w:val="16"/>
          <w:color w:val="auto"/>
        </w:rPr>
        <w:t>has served as a member of our board of directors since January 11, 2021. Mr. Bank is Executive Vice President,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Strategy for A+E Networks. He was named to the role in July 2019 and is responsible for long-term strategic and business development plans, including identifying potential partners in the marketplace, and exploring opportunities that align with the company’s forecasted objectives. Mr. Bank is also member of the board of directors of Johnson Production Group. Mr. Bank is a veteran analyst and financial professional with expertise in the media and entertainment industry. Prior to joining A+E Networks, he served as Executive Vice President, Investor Relations at CBS Corp. Previously, Mr. Bank had a 16-year career as a sell-side equity research analyst and Managing Director at RBC Capital Markets where he primarily covered Large Cap Media and Entertainment Companies. He also served as Associate Director of The US Equity Research Department at RBC Capital Markets. Mr. Bank began his career as an investment banker focusing on financial institutions at First Boston, then joined Furman Selz as an Investment Banker focused on Media. He holds a Bachelor of Arts from Williams College and a Master of Business Administration from The Yale School of Management. We believe Mr. Bank is well-qualified to serve as a member of the board due to his business experience, as well as his contacts and relationships.</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Scott Flanders </w:t>
      </w:r>
      <w:r>
        <w:rPr>
          <w:rFonts w:ascii="Arial" w:cs="Arial" w:eastAsia="Arial" w:hAnsi="Arial"/>
          <w:sz w:val="18"/>
          <w:szCs w:val="18"/>
          <w:color w:val="auto"/>
        </w:rPr>
        <w:t>has served as a member of our board of directors since January 11, 2021. In his current role as Chief Executive Officer for</w:t>
      </w:r>
      <w:r>
        <w:rPr>
          <w:rFonts w:ascii="Arial" w:cs="Arial" w:eastAsia="Arial" w:hAnsi="Arial"/>
          <w:sz w:val="18"/>
          <w:szCs w:val="18"/>
          <w:b w:val="1"/>
          <w:bCs w:val="1"/>
          <w:color w:val="auto"/>
        </w:rPr>
        <w:t xml:space="preserve"> </w:t>
      </w:r>
      <w:r>
        <w:rPr>
          <w:rFonts w:ascii="Arial" w:cs="Arial" w:eastAsia="Arial" w:hAnsi="Arial"/>
          <w:sz w:val="18"/>
          <w:szCs w:val="18"/>
          <w:color w:val="auto"/>
        </w:rPr>
        <w:t>eHealth, Inc. (Nasdaq: EHTH), Mr. Flanders has managed the company through vast industry changes. In addition to eHealth, Inc., Mr. Flanders has served as Chief Executive Officer of The Columbia House Company, Freedom Communications and Playboy Enterprises. Mr. Flanders holds a Bachelor of Arts in Economics from the University of Colorado, Boulder and a Juris Doctor from Maurer School of Law at Indiana University. Mr. Flanders is also a Certified Public Accountant. We believe Mr. Flanders is well-qualified to serve as a member of the board due to his business experience, as well as his contacts and relationships.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Jon Jashni </w:t>
      </w:r>
      <w:r>
        <w:rPr>
          <w:rFonts w:ascii="Arial" w:cs="Arial" w:eastAsia="Arial" w:hAnsi="Arial"/>
          <w:sz w:val="17"/>
          <w:szCs w:val="17"/>
          <w:color w:val="auto"/>
        </w:rPr>
        <w:t>has served as a member of our board of directors since January 11, 2021. Mr. Jashni is a media investor, advisor and content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who provides services through his consulting firm Raintree Ventures. He is currently a Founding Advisor to Influence Media, a music fund allied with Warner Music, and Sreda Global, a leading Russian TV studio. Mr. Jashni also serves as a strategic advisor to such entities as Mass Appeal, Bonfire Game Studios, Prometheus Entertainment and Wevr and is a Founding Partner of Synthesis Entertainment. Over the course of his career, Mr. Jashni has been associated with the creation and monetization of content that has generated over $7 billion in gross revenue. From 2006 to 2016, Mr. Jashni was Co-Founder, President and Chief Creative Officer of Legendary Entertainment. During his 10-year tenure at the company he was integral to establishing and evolving the company into a leading, diversified, multi-platform media company. Comprised of film, television, digital and comics divisions, Legendary Entertainment is dedicated to owning, producing and delivering mainstream content to global audiences. Mr. Jashni has been a lead participant in corporate transactions involving such companies as Time Warner, Comcast NBCUniversal, Fidelity, Waddell &amp; Reed, Softbank and Wanda (which purchased Legendary Entertainment in 2016). Mr. Jashni has also been involved in the acquisition and scaling of a vanguard applied analytics entity which developed proprietary methodologies for optimizing media buying, leveraging social media and finely calibrating consumer interactions. Prior to co-founding and joining Legendary Entertainment, Mr. Jashni was President of Hyde Park Entertainment, President of Irving Azoff’s Warner Bros-based Giant Pictures, Senior Vice President of Production at 20th Century Fox and Creative Executive at Columbia Pictures. Mr. Jashni holds a Master of Business Administration in Organizational Behavior from the Anderson School of Management at the University of California, Los Angeles and a Bachelor of Science in Corporate Finance from the University of Southern California. We believe Mr. Jashni is well-qualified to serve as a member of the board due to his business experience, as well as his contacts and relationships.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as of January 11, 2021, we have seven directors. Our board of directors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David Bank and Emiliano Calemzuk, will expire at our first annual meeting of stockholders. The term of office of the second class of directors, consisting of Scott Flanders and Jon Jashni, will expire at the second annual meeting of stockholders. The term of office of the third class of directors, consisting of Adam Rothstein, Kelli Turner and Linda Yaccarino, will expire at the third annual meeting of stockholders. In accordance with Nasdaq corporate governance requirements, we are not required to hold an annual meeting until one year after our first fiscal year end following our listing on Nasdaq.</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Co-Chairman of the Board, Executive Chairman, a Chief Executive Officer, a President, a Chief Financial Officer, Vice Presidents, a Secretary, Assistant Secretaries, a Treasurer and such other offices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Effective January 11, 2021, we have five “independent directors” as defined in the Nasdaq rules and applicable SEC rules prior to completion of our initial public offering. A majority of our board of directors is comprised of independent directors. Our board has determined that each of Mses. Yaccarino and Turner and Messrs. Bank, Flanders and Jashni are independent directors under applicable SEC and Nasdaq rules. Our independent directors will have regularly scheduled meetings at which only independent directors are present.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Nasdaq listing standards and applicable SEC rules, we are required to have three members of the audit committee, all of whom must be independent, subject to the following exception: because we expect to list our securities on Nasdaq in connection with our initial public offering, we have one year from the effective date of the registration statement of which this prospectus forms a part to have our audit committee be comprised solely of independent members. The members of our audit committee are David Bank, Jon Jashni and Kelli Turner. Kelli Turner has agreed to serve as chair of the audit committee.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Kelli Turner qualifies as an “audit committee financial expert” as defined in applicable SEC rules. We have adopted an audit committee charter, which details the principal functions of the audit committee, including:</w:t>
      </w:r>
    </w:p>
    <w:p>
      <w:pPr>
        <w:spacing w:after="0" w:line="184" w:lineRule="exact"/>
        <w:rPr>
          <w:sz w:val="20"/>
          <w:szCs w:val="20"/>
          <w:color w:val="auto"/>
        </w:rPr>
      </w:pPr>
    </w:p>
    <w:p>
      <w:pPr>
        <w:ind w:left="340" w:right="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and any other independent registered public accounting firm engaged by us for the purpose of preparing or issuing an audit report or performing other audit, review or attest services for us;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discussing with the independent registered public accounting firm all relationships the independent registered public accounting firm has with us in order to evaluate their continued independence;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and</w:t>
      </w:r>
    </w:p>
    <w:p>
      <w:pPr>
        <w:spacing w:after="0" w:line="18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applicable law or stock exchange rules. In accordance with Rule 5605(e)(2) of the Nasdaq listing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In accordance with Rule 5605(e)(1)(A) of the Nasdaq listing rules, all such directors are independent. As there is no standing nominating committee, we do not have a nominating committee charter in place.</w:t>
      </w:r>
    </w:p>
    <w:p>
      <w:pPr>
        <w:spacing w:after="0" w:line="19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Prior to our initial Business Combination, the board of directors will also consider director candidates recommended for nomination by our stockholders during such times as they are seeking proposed nominees to stand for election at an annual meeting of stockholders (or, if applicable, a special meeting of stockholders). Our stockholders that wish to nominate a director for election to the board of directors should follow the procedures set forth in our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229"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January 11, 2021, we established a compensation committee of the board of directors. Under the Nasdaq listing standards and applicable SEC rules, we are required to have a compensation committee comprised entirely of independent directors. The members of our Compensation Committee are David Bank, Scott Flanders and Linda Yaccarino. Scott Flanders serves as chair of the compensation committee. We have adopted a compensation committee charter, which details the principal functions of the compensation committee, including:</w:t>
      </w:r>
    </w:p>
    <w:p>
      <w:pPr>
        <w:spacing w:after="0" w:line="171"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compensation committee charter provides that the compensation committee may, in its sole discretion, retain or obtain the advice of a compensation consultant, legal counsel or other adviser and is directly responsible for the appointment, compensation and oversight of the work of any such adviser.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13, 2021, we adopted a Code of Ethics applicable to our directors, officers and employees. We have filed a copy of our form of Code of Ethics and our audit committee charter as exhibits to our registration statement filed pursuant to Rule 424(b)(4) (Registration No. 333-251650). These documents may be reviewed by accessing our public filings at the SEC’s website at www.sec.gov. We will disclose any amendments to or waivers of certain provisions of our Code of Ethics in a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None of our officers or directors has received any cash compensation for services rendered to us. Commencing on the date that our securities were first listed on Nasdaq through the earlier of consummation of our initial Business Combination and our liquidation, we will pay an affiliate of our sponsor a total of $20,000 per month, for up to 24 months, for office space, utilities, general office and secretarial support, and administrative and support services. Our founders,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founders, officers, directors or our or any of their affiliates.</w:t>
      </w:r>
    </w:p>
    <w:p>
      <w:pPr>
        <w:spacing w:after="0" w:line="16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Any such payments prior to an initial Business Combination have been, and will continue to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have been paid by the company to our founders, executive officers and directors, or any of their respective affiliates, prior to completion of our initial Business Combination.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360"/>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or advisors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our formation, we have not granted any stock options or stock appreciation rights or any other awards under long-term incentive plans to any of our executive officers or directors.</w:t>
      </w:r>
    </w:p>
    <w:p>
      <w:pPr>
        <w:spacing w:after="0" w:line="38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January 11, 2021, and as adjusted to reflect the sale of our common stock included in the units offered by Initial Public Offering prospectus, and assuming no purchase of units in or following the Initial Public Offering, by:</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our executive officers, executive officer nominees,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our executive officers, executive officer nominees, directors and director nominees as a group.</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they are not exercisable within 60 days of the date hereof.</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4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r>
      <w:tr>
        <w:trPr>
          <w:trHeight w:val="234"/>
        </w:trPr>
        <w:tc>
          <w:tcPr>
            <w:tcW w:w="640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Owned</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r>
      <w:tr>
        <w:trPr>
          <w:trHeight w:val="237"/>
        </w:trPr>
        <w:tc>
          <w:tcPr>
            <w:tcW w:w="640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Name and Address of Beneficial Owner</w:t>
            </w:r>
            <w:r>
              <w:rPr>
                <w:rFonts w:ascii="Arial" w:cs="Arial" w:eastAsia="Arial" w:hAnsi="Arial"/>
                <w:sz w:val="27"/>
                <w:szCs w:val="27"/>
                <w:b w:val="1"/>
                <w:bCs w:val="1"/>
                <w:color w:val="auto"/>
                <w:vertAlign w:val="superscript"/>
              </w:rPr>
              <w:t>1</w:t>
            </w:r>
          </w:p>
        </w:tc>
        <w:tc>
          <w:tcPr>
            <w:tcW w:w="9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56"/>
        </w:trPr>
        <w:tc>
          <w:tcPr>
            <w:tcW w:w="6400" w:type="dxa"/>
            <w:vAlign w:val="bottom"/>
          </w:tcPr>
          <w:p>
            <w:pPr>
              <w:spacing w:after="0" w:line="256" w:lineRule="exact"/>
              <w:rPr>
                <w:sz w:val="20"/>
                <w:szCs w:val="20"/>
                <w:color w:val="auto"/>
              </w:rPr>
            </w:pPr>
            <w:r>
              <w:rPr>
                <w:rFonts w:ascii="Arial" w:cs="Arial" w:eastAsia="Arial" w:hAnsi="Arial"/>
                <w:sz w:val="18"/>
                <w:szCs w:val="18"/>
                <w:color w:val="auto"/>
              </w:rPr>
              <w:t>200 Park Avenue Partners, LLC (our sponsor)</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6,852,540</w:t>
            </w:r>
            <w:r>
              <w:rPr>
                <w:rFonts w:ascii="Arial" w:cs="Arial" w:eastAsia="Arial" w:hAnsi="Arial"/>
                <w:sz w:val="14"/>
                <w:szCs w:val="14"/>
                <w:color w:val="auto"/>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18.66%</w:t>
            </w:r>
          </w:p>
        </w:tc>
      </w:tr>
      <w:tr>
        <w:trPr>
          <w:trHeight w:val="257"/>
        </w:trPr>
        <w:tc>
          <w:tcPr>
            <w:tcW w:w="6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PA 2 Co-Investment LLC</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705,222</w:t>
            </w:r>
            <w:r>
              <w:rPr>
                <w:rFonts w:ascii="Arial" w:cs="Arial" w:eastAsia="Arial" w:hAnsi="Arial"/>
                <w:sz w:val="14"/>
                <w:szCs w:val="14"/>
                <w:color w:val="auto"/>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57"/>
        </w:trPr>
        <w:tc>
          <w:tcPr>
            <w:tcW w:w="6400" w:type="dxa"/>
            <w:vAlign w:val="bottom"/>
          </w:tcPr>
          <w:p>
            <w:pPr>
              <w:spacing w:after="0" w:line="256" w:lineRule="exact"/>
              <w:rPr>
                <w:sz w:val="20"/>
                <w:szCs w:val="20"/>
                <w:color w:val="auto"/>
              </w:rPr>
            </w:pPr>
            <w:r>
              <w:rPr>
                <w:rFonts w:ascii="Arial" w:cs="Arial" w:eastAsia="Arial" w:hAnsi="Arial"/>
                <w:sz w:val="18"/>
                <w:szCs w:val="18"/>
                <w:color w:val="auto"/>
              </w:rPr>
              <w:t>Craig-Hallum Capital Group LLC</w:t>
            </w:r>
            <w:r>
              <w:rPr>
                <w:rFonts w:ascii="Arial" w:cs="Arial" w:eastAsia="Arial" w:hAnsi="Arial"/>
                <w:sz w:val="29"/>
                <w:szCs w:val="29"/>
                <w:color w:val="auto"/>
                <w:vertAlign w:val="superscript"/>
              </w:rPr>
              <w:t>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302,238</w:t>
            </w:r>
            <w:r>
              <w:rPr>
                <w:rFonts w:ascii="Arial" w:cs="Arial" w:eastAsia="Arial" w:hAnsi="Arial"/>
                <w:sz w:val="14"/>
                <w:szCs w:val="14"/>
                <w:color w:val="auto"/>
              </w:rPr>
              <w:t>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Adam Rothstein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6,852,540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Emiliano Calemzuk</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Michael Del Nin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400" w:type="dxa"/>
            <w:vAlign w:val="bottom"/>
          </w:tcPr>
          <w:p>
            <w:pPr>
              <w:spacing w:after="0" w:line="256" w:lineRule="exact"/>
              <w:rPr>
                <w:sz w:val="20"/>
                <w:szCs w:val="20"/>
                <w:color w:val="auto"/>
              </w:rPr>
            </w:pPr>
            <w:r>
              <w:rPr>
                <w:rFonts w:ascii="Arial" w:cs="Arial" w:eastAsia="Arial" w:hAnsi="Arial"/>
                <w:sz w:val="18"/>
                <w:szCs w:val="18"/>
                <w:color w:val="auto"/>
              </w:rPr>
              <w:t>Linda Yaccarino</w:t>
            </w:r>
            <w:r>
              <w:rPr>
                <w:rFonts w:ascii="Arial" w:cs="Arial" w:eastAsia="Arial" w:hAnsi="Arial"/>
                <w:sz w:val="29"/>
                <w:szCs w:val="29"/>
                <w:color w:val="auto"/>
                <w:vertAlign w:val="superscript"/>
              </w:rPr>
              <w:t>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Kelli Turner</w:t>
            </w:r>
            <w:r>
              <w:rPr>
                <w:rFonts w:ascii="Arial" w:cs="Arial" w:eastAsia="Arial" w:hAnsi="Arial"/>
                <w:sz w:val="29"/>
                <w:szCs w:val="29"/>
                <w:color w:val="auto"/>
                <w:vertAlign w:val="superscript"/>
              </w:rPr>
              <w:t>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spacing w:after="0" w:line="256" w:lineRule="exact"/>
              <w:rPr>
                <w:sz w:val="20"/>
                <w:szCs w:val="20"/>
                <w:color w:val="auto"/>
              </w:rPr>
            </w:pPr>
            <w:r>
              <w:rPr>
                <w:rFonts w:ascii="Arial" w:cs="Arial" w:eastAsia="Arial" w:hAnsi="Arial"/>
                <w:sz w:val="18"/>
                <w:szCs w:val="18"/>
                <w:color w:val="auto"/>
              </w:rPr>
              <w:t>David Bank</w:t>
            </w:r>
            <w:r>
              <w:rPr>
                <w:rFonts w:ascii="Arial" w:cs="Arial" w:eastAsia="Arial" w:hAnsi="Arial"/>
                <w:sz w:val="29"/>
                <w:szCs w:val="29"/>
                <w:color w:val="auto"/>
                <w:vertAlign w:val="superscript"/>
              </w:rPr>
              <w:t>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Scott Flanders</w:t>
            </w:r>
            <w:r>
              <w:rPr>
                <w:rFonts w:ascii="Arial" w:cs="Arial" w:eastAsia="Arial" w:hAnsi="Arial"/>
                <w:sz w:val="29"/>
                <w:szCs w:val="29"/>
                <w:color w:val="auto"/>
                <w:vertAlign w:val="superscript"/>
              </w:rPr>
              <w:t>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Jon Jashni</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individuals)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6,957,540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2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following entities or individuals is 14 Elm Place, Suite 206, Rye, New York 10580.</w:t>
      </w:r>
    </w:p>
    <w:p>
      <w:pPr>
        <w:spacing w:after="0" w:line="236" w:lineRule="exact"/>
        <w:rPr>
          <w:rFonts w:ascii="Arial" w:cs="Arial" w:eastAsia="Arial" w:hAnsi="Arial"/>
          <w:sz w:val="17"/>
          <w:szCs w:val="17"/>
          <w:color w:val="auto"/>
        </w:rPr>
      </w:pPr>
    </w:p>
    <w:p>
      <w:pPr>
        <w:jc w:val="both"/>
        <w:ind w:firstLine="8"/>
        <w:spacing w:after="0" w:line="311" w:lineRule="auto"/>
        <w:tabs>
          <w:tab w:leader="none" w:pos="2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657,500 shares underlying Private Placement Units and 6,195,040 Founder Shares held of record by our Sponsor. Our Sponsor is controlled by Mr. Rothstein, as manager, and therefore Mr. Rothstein has voting and dispositive power over such shares and Founder Shares held by our Sponsor and may be deemed to beneficially own such Founder Shares. In addition, certain of our other officers, directors, and advisors are members of our Sponsor.</w:t>
      </w:r>
    </w:p>
    <w:p>
      <w:pPr>
        <w:spacing w:after="0" w:line="148" w:lineRule="exact"/>
        <w:rPr>
          <w:rFonts w:ascii="Arial" w:cs="Arial" w:eastAsia="Arial" w:hAnsi="Arial"/>
          <w:sz w:val="16"/>
          <w:szCs w:val="16"/>
          <w:color w:val="auto"/>
        </w:rPr>
      </w:pPr>
    </w:p>
    <w:p>
      <w:pPr>
        <w:jc w:val="both"/>
        <w:ind w:firstLine="8"/>
        <w:spacing w:after="0" w:line="255" w:lineRule="auto"/>
        <w:tabs>
          <w:tab w:leader="none" w:pos="2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84,000 shares underlying Private Placement Units and 621,222 Founder Shares held directly by PA 2 Co-Investment. As the sole member of PA 2 Co-Investment, Cowen Investments II LLC may be deemed to beneficially own the securities owned directly by PA 2 Co-Investment. As the sole member of Cowen Investments II, RCG LV Pearl, LLC (“RCG”) may be deemed to beneficially own the securities owned directly by PA 2 Co-Investment. As the sole member of RCG, Cowen Inc. may be deemed to beneficially own the securities owned directly by PA 2 Co-Investment. As Chief Executive Officer of Cowen Inc., Mr. Jeffrey Solomon may be deemed to beneficially own the securities owned directly by PA 2 Co-Investment. The business address is 599 Lexington Avenue, 20th Floor, New York, NY 10022.</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8"/>
        <w:spacing w:after="0" w:line="289" w:lineRule="auto"/>
        <w:tabs>
          <w:tab w:leader="none" w:pos="2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36,000 shares underlying Private Placement Units and 266,238 Founder Shares; includes shares held by certain affiliates of Craig-Hallum Capital Group LLC. The Board of Directors of Craig-Hallum Capital Group LLC (the “CH Board”) controls Craig-Hallum Capital Group LLC. There are 6 members of the CH Board: Brad Baker, Steve Dyer, William Hartfiel III, Kevin Harris, James Zavoral and Tom Emmel. Each member of the CH Board has one vote, and majority approval is required to approve an action.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individual member of the CH Board controls Craig-Hallum Capital Group LLC or exercises voting or dispositive control over any of the securities held by Craig-Hallum Capital Group LLC, even those in which he or she holds a pecuniary interest. Accordingly, none of them is deemed to have or share beneficial ownership of such shares. The business address of each of Craig-Hallum Capital Group LLC and its affiliates is 222 South Ninth Street, Suite 350, Minneapolis, MN 55402.</w:t>
      </w:r>
    </w:p>
    <w:p>
      <w:pPr>
        <w:spacing w:after="0" w:line="166"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any securities held by 200 Park Avenue Partners, LLC, of which each person is a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certain limited exceptions, the Founder Shares will not be transferable, assignable or salable by our initial stockholders until the earlier of</w:t>
      </w:r>
    </w:p>
    <w:p>
      <w:pPr>
        <w:spacing w:after="0" w:line="46" w:lineRule="exact"/>
        <w:rPr>
          <w:sz w:val="20"/>
          <w:szCs w:val="20"/>
          <w:color w:val="auto"/>
        </w:rPr>
      </w:pPr>
    </w:p>
    <w:p>
      <w:pPr>
        <w:jc w:val="both"/>
        <w:ind w:firstLine="8"/>
        <w:spacing w:after="0" w:line="251" w:lineRule="auto"/>
        <w:tabs>
          <w:tab w:leader="none" w:pos="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and (2) the date on which we consummate a liquidation, merger, capital stock exchange, reorganization, or other similar transaction after our initial Business Combination that results in all of our stockholders having the right to exchange their shares of common stock for cash, securities or other property. Notwithstanding the foregoing, if the last reported sale price of our common stock shares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shares comprising the Private Placement Units, the Private Placement Warrants and the shares of common stock underlying such Private Placement Warrants, will not be transferable, assignable or salable by our initial stockholders until 30 days after the completion of our initial Business Combination.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executive officers and Sponsor are our “promoters,”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2020, we had no compensation plans (including individual compensation arrangements) under which equity securities of the registrant were authorized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complete discussion regarding certain relationships and related transactions, see the section titled “Related Party Transactions” contained in our prospectus dated January 11, 2021,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firm of Marcum LLP, or Marcum, acts as our independent registered public accounting firm. The following is a summary of fees paid to Marcum for services rendered.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Audit fees consist of fees billed for professional services rendered for the audit of our year-end financial statements, reviews of our quarterly financial statements and services that are normally provided by our independent registered public accounting firm in connection with statutory and regulatory filings. The aggregate fees billed by Marcum for audit fees, inclusive of required filings with the SEC for the year ended December 31, 2020 and of services rendered in connection with our Initial Public Offering, totaled $55,000.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Audit-related fees consist of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During the year ended December 31, 2020, we did not pay Marcum any audit-related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consist of fees billed for professional services relating to tax compliance, tax planning and tax advice. During the year ended December 31, 2020, we did not pay Marcum any tax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other fees consist of fees billed for all other services. During the year ended December 31, 2020, we did not pay Marcum any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Approval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our audit committee was not formed until January 11, 2021, the audit committee did not pre-approve all of the foregoing services, although any services rendered prior to the formation of our audit committee were approved by our board of directors. However, in accordance with Section 10A(i) of the Exchange Act, before we engage our independent registered public accounting firm to render audit or non-audit services on a going-forward basis, the engagement will be approved by our audit committee.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189"/>
        </w:trPr>
        <w:tc>
          <w:tcPr>
            <w:tcW w:w="10240" w:type="dxa"/>
            <w:vAlign w:val="bottom"/>
            <w:gridSpan w:val="28"/>
            <w:shd w:val="clear" w:color="auto" w:fill="CCEEFF"/>
          </w:tcPr>
          <w:p>
            <w:pPr>
              <w:spacing w:after="0" w:line="169" w:lineRule="exact"/>
              <w:rPr>
                <w:rFonts w:ascii="Arial" w:cs="Arial" w:eastAsia="Arial" w:hAnsi="Arial"/>
                <w:sz w:val="18"/>
                <w:szCs w:val="18"/>
                <w:color w:val="0000EE"/>
              </w:rPr>
            </w:pPr>
            <w:hyperlink w:anchor="page28">
              <w:r>
                <w:rPr>
                  <w:rFonts w:ascii="Arial" w:cs="Arial" w:eastAsia="Arial" w:hAnsi="Arial"/>
                  <w:sz w:val="18"/>
                  <w:szCs w:val="18"/>
                  <w:color w:val="0000EE"/>
                </w:rPr>
                <w:t>Report of Independent Registered Public Accounting Firm</w:t>
              </w:r>
            </w:hyperlink>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6"/>
            <w:shd w:val="clear" w:color="auto" w:fill="CCEEFF"/>
          </w:tcPr>
          <w:p>
            <w:pPr>
              <w:ind w:left="120"/>
              <w:spacing w:after="0" w:line="169" w:lineRule="exact"/>
              <w:rPr>
                <w:rFonts w:ascii="Arial" w:cs="Arial" w:eastAsia="Arial" w:hAnsi="Arial"/>
                <w:sz w:val="18"/>
                <w:szCs w:val="18"/>
                <w:color w:val="0000EE"/>
              </w:rPr>
            </w:pPr>
            <w:hyperlink w:anchor="page28">
              <w:r>
                <w:rPr>
                  <w:rFonts w:ascii="Arial" w:cs="Arial" w:eastAsia="Arial" w:hAnsi="Arial"/>
                  <w:sz w:val="18"/>
                  <w:szCs w:val="18"/>
                  <w:color w:val="0000EE"/>
                </w:rPr>
                <w:t>F-2</w:t>
              </w:r>
            </w:hyperlink>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54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80" w:type="dxa"/>
            <w:vAlign w:val="bottom"/>
            <w:gridSpan w:val="29"/>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Balance Sheet as of December 31, 2020</w:t>
              </w:r>
            </w:hyperlink>
          </w:p>
        </w:tc>
        <w:tc>
          <w:tcPr>
            <w:tcW w:w="70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F-3</w:t>
              </w:r>
            </w:hyperlink>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80" w:type="dxa"/>
            <w:vAlign w:val="bottom"/>
            <w:gridSpan w:val="29"/>
            <w:shd w:val="clear" w:color="auto" w:fill="CC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Statement of Operations for the Period from September 9, 2020 (Inception) to December 31, 2020</w:t>
              </w:r>
            </w:hyperlink>
          </w:p>
        </w:tc>
        <w:tc>
          <w:tcPr>
            <w:tcW w:w="70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F-4</w:t>
              </w:r>
            </w:hyperlink>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80" w:type="dxa"/>
            <w:vAlign w:val="bottom"/>
            <w:gridSpan w:val="29"/>
            <w:shd w:val="clear" w:color="auto" w:fill="CCEEFF"/>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Statement of Changes in Stockholder’s Equity for the Period from September 9, 2020 (Inception) to December 31, 2020</w:t>
              </w:r>
            </w:hyperlink>
          </w:p>
        </w:tc>
        <w:tc>
          <w:tcPr>
            <w:tcW w:w="70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F-5</w:t>
              </w:r>
            </w:hyperlink>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380" w:type="dxa"/>
            <w:vAlign w:val="bottom"/>
            <w:gridSpan w:val="29"/>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Statement of Cash Flows for the Period from September 9, 2020 (Inception) to December 31, 2020</w:t>
              </w:r>
            </w:hyperlink>
          </w:p>
        </w:tc>
        <w:tc>
          <w:tcPr>
            <w:tcW w:w="70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F-6</w:t>
              </w:r>
            </w:hyperlink>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380" w:type="dxa"/>
            <w:vAlign w:val="bottom"/>
            <w:gridSpan w:val="29"/>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Financial Statements</w:t>
              </w:r>
            </w:hyperlink>
          </w:p>
        </w:tc>
        <w:tc>
          <w:tcPr>
            <w:tcW w:w="70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F-7</w:t>
              </w:r>
            </w:hyperlink>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26"/>
          </w:tcPr>
          <w:p>
            <w:pPr>
              <w:ind w:left="240"/>
              <w:spacing w:after="0"/>
              <w:rPr>
                <w:sz w:val="20"/>
                <w:szCs w:val="20"/>
                <w:color w:val="auto"/>
              </w:rPr>
            </w:pPr>
            <w:r>
              <w:rPr>
                <w:rFonts w:ascii="Arial" w:cs="Arial" w:eastAsia="Arial" w:hAnsi="Arial"/>
                <w:sz w:val="18"/>
                <w:szCs w:val="18"/>
                <w:color w:val="auto"/>
              </w:rPr>
              <w:t>(2) Financial Statement Schedules: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00" w:type="dxa"/>
            <w:vAlign w:val="bottom"/>
            <w:gridSpan w:val="24"/>
          </w:tcPr>
          <w:p>
            <w:pPr>
              <w:ind w:left="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540" w:type="dxa"/>
            <w:vAlign w:val="bottom"/>
            <w:gridSpan w:val="30"/>
          </w:tcPr>
          <w:p>
            <w:pPr>
              <w:spacing w:after="0"/>
              <w:rPr>
                <w:sz w:val="20"/>
                <w:szCs w:val="20"/>
                <w:color w:val="auto"/>
              </w:rPr>
            </w:pPr>
            <w:r>
              <w:rPr>
                <w:rFonts w:ascii="Arial" w:cs="Arial" w:eastAsia="Arial" w:hAnsi="Arial"/>
                <w:sz w:val="18"/>
                <w:szCs w:val="18"/>
                <w:color w:val="auto"/>
              </w:rPr>
              <w:t>(b) The following Exhibits are filed as part of this report: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12"/>
          </w:tcPr>
          <w:p>
            <w:pPr>
              <w:ind w:left="5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95"/>
              </w:rPr>
            </w:pPr>
            <w:hyperlink r:id="rId34">
              <w:r>
                <w:rPr>
                  <w:rFonts w:ascii="Arial" w:cs="Arial" w:eastAsia="Arial" w:hAnsi="Arial"/>
                  <w:sz w:val="18"/>
                  <w:szCs w:val="18"/>
                  <w:color w:val="0000EE"/>
                  <w:w w:val="95"/>
                </w:rPr>
                <w:t>Underwriting Agreement, dated January 11, 2021, between the Company and Cowen and Company, LLC and Craig-Hallum Capital</w:t>
              </w:r>
            </w:hyperlink>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300" w:type="dxa"/>
            <w:vAlign w:val="bottom"/>
            <w:tcBorders>
              <w:top w:val="single" w:sz="8" w:color="0000EE"/>
            </w:tcBorders>
            <w:gridSpan w:val="24"/>
            <w:shd w:val="clear" w:color="auto" w:fill="CCEEFF"/>
          </w:tcPr>
          <w:p>
            <w:pPr>
              <w:ind w:left="20"/>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Group LLC. (1)</w:t>
              </w:r>
            </w:hyperlink>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Amended and Restated Certificate of Incorporation of the Company. (1)</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Amended and Restated Bylaws of the Company. (1)</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Specimen Unit Certificate. (2)</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Specimen Class A Common Stock Certificate. (2)</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Specimen Warrant Certificate (included in Exhibit 4.4).</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Warrant Agreement, dated January 11, 2021, between the Company and Continental Stock Transfer &amp; Trust Company. (1)</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Securities.</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Promissory Note, dated October 15, 2020, issued to 200 Park Avenue Partners, LLC. (2)</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Securities Subscription Agreement, dated October 15, 2020, between the Company and 200 Park Avenue Partners, LLC. (2)</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Letter Agreement, dated January 11, 2021, among the Company, 200 Park Avenue Partners, LLC, PA 2 Co-Investment LLC, John Lipman</w:t>
              </w:r>
            </w:hyperlink>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300" w:type="dxa"/>
            <w:vAlign w:val="bottom"/>
            <w:tcBorders>
              <w:top w:val="single" w:sz="8" w:color="0000EE"/>
            </w:tcBorders>
            <w:gridSpan w:val="24"/>
            <w:shd w:val="clear" w:color="auto" w:fill="CCEEFF"/>
          </w:tcPr>
          <w:p>
            <w:pPr>
              <w:ind w:left="20"/>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and each of the executive officers, directors and initial stockholders of the Company. (1)</w:t>
              </w:r>
            </w:hyperlink>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Investment Management Trust Agreement, dated January 11, 2021, between the Company and Continental Stock Transfer &amp; Trust</w:t>
              </w:r>
            </w:hyperlink>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300" w:type="dxa"/>
            <w:vAlign w:val="bottom"/>
            <w:tcBorders>
              <w:top w:val="single" w:sz="8" w:color="0000EE"/>
            </w:tcBorders>
            <w:gridSpan w:val="24"/>
            <w:shd w:val="clear" w:color="auto" w:fill="CCEEFF"/>
          </w:tcPr>
          <w:p>
            <w:pPr>
              <w:ind w:left="20"/>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Company. (1)</w:t>
              </w:r>
            </w:hyperlink>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Registration Rights Agreement, dated January 11, 2021, among the Company, 200 Park Avenue Partners, LLC and certain securityholders.</w:t>
              </w:r>
            </w:hyperlink>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0000EE"/>
            </w:tcBorders>
            <w:gridSpan w:val="2"/>
            <w:shd w:val="clear" w:color="auto" w:fill="CCEEFF"/>
          </w:tcPr>
          <w:p>
            <w:pPr>
              <w:ind w:left="20"/>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(1)</w:t>
              </w:r>
            </w:hyperlink>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200" w:type="dxa"/>
            <w:vAlign w:val="bottom"/>
            <w:tcBorders>
              <w:top w:val="single" w:sz="8" w:color="0000EE"/>
            </w:tcBorders>
            <w:shd w:val="clear" w:color="auto" w:fill="CCEEFF"/>
          </w:tcPr>
          <w:p>
            <w:pPr>
              <w:spacing w:after="0"/>
              <w:rPr>
                <w:sz w:val="18"/>
                <w:szCs w:val="18"/>
                <w:color w:val="auto"/>
              </w:rPr>
            </w:pPr>
          </w:p>
        </w:tc>
        <w:tc>
          <w:tcPr>
            <w:tcW w:w="8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Private Placement Unit Purchase Agreement, dated January 11, 2021, between the Company and 200 Park Avenue Partners, LLC. (1)</w:t>
              </w:r>
            </w:hyperlink>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Private Placement Unit Purchase Agreement, dated January 11, 2021, between the Company and PA 2 Co-Investment LLC. (1)</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gridSpan w:val="2"/>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0"/>
            <w:shd w:val="clear" w:color="auto" w:fill="CCEEFF"/>
          </w:tcPr>
          <w:p>
            <w:pPr>
              <w:ind w:left="20"/>
              <w:spacing w:after="0" w:line="17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Private Placement Unit Purchase Agreement, dated January 11, 2021, between the Company and Craig-Hallum Capital Group LLC. (1)</w:t>
              </w:r>
            </w:hyperlink>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Private Placement Unit Purchase Agreement, dated January 11, 2021, between the Company and John Lipman. (1)</w:t>
              </w:r>
            </w:hyperlink>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0" w:type="dxa"/>
            <w:vAlign w:val="bottom"/>
            <w:shd w:val="clear" w:color="auto" w:fill="CCEEFF"/>
          </w:tcPr>
          <w:p>
            <w:pPr>
              <w:spacing w:after="0"/>
              <w:rPr>
                <w:sz w:val="15"/>
                <w:szCs w:val="15"/>
                <w:color w:val="auto"/>
              </w:rPr>
            </w:pPr>
          </w:p>
        </w:tc>
        <w:tc>
          <w:tcPr>
            <w:tcW w:w="93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Form of Indemnity Agreement. (2)</w:t>
              </w:r>
            </w:hyperlink>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904" w:right="339" w:bottom="204" w:gutter="0" w:footer="0" w:header="0"/>
        </w:sectPr>
      </w:pPr>
    </w:p>
    <w:bookmarkStart w:id="23" w:name="page24"/>
    <w:bookmarkEnd w:id="23"/>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20" w:type="dxa"/>
            <w:vAlign w:val="bottom"/>
            <w:gridSpan w:val="4"/>
            <w:shd w:val="clear" w:color="auto" w:fill="CCEEFF"/>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82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Business Combination Marketing Agreement, dated January 11, 2021, between the Company and Cowen and Company, LLC and Craig-</w:t>
              </w:r>
            </w:hyperlink>
          </w:p>
        </w:tc>
      </w:tr>
      <w:tr>
        <w:trPr>
          <w:trHeight w:val="217"/>
        </w:trPr>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6"/>
            <w:shd w:val="clear" w:color="auto" w:fill="CCEEFF"/>
          </w:tcPr>
          <w:p>
            <w:pPr>
              <w:ind w:left="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Hallum Capital Group LLC.</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240" w:type="dxa"/>
            <w:vAlign w:val="bottom"/>
            <w:gridSpan w:val="5"/>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0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Administrative Services Agreement, dated January 11, 2021, between the Company and 200 Park Avenue Partners, LLC.</w:t>
              </w:r>
            </w:hyperlink>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2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Certification of Principal Executive Officer pursuant to Section 302 of the Sarbanes-Oxley Act of 2002.</w:t>
              </w:r>
            </w:hyperlink>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2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Certification of Principal Financial and Accounting Officer pursuant to Section 302 of the Sarbanes-Oxley Act of 2002.</w:t>
              </w:r>
            </w:hyperlink>
          </w:p>
        </w:tc>
      </w:tr>
      <w:tr>
        <w:trPr>
          <w:trHeight w:val="216"/>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2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32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Certification pursuant to Section 906 of the Sarbanes-Oxley Act of 2002.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on January 15, 2021.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(SEC File No. 333-251650).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Section 13 or 15 or 15(d) of the Securities Exchange Act of 1934, the registrant has duly caused this report to be signed on its behalf by the undersigned, thereunto duly authorized on the 31st day of March, 2021.</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890 5TH AVENUE PARTNERS,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Emiliano Calemzuk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50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Rothstein</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Executive Chairman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Adam Rothstein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Emiliano Calemzuk</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Emiliano Calemzuk</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140" w:type="dxa"/>
            <w:vAlign w:val="bottom"/>
          </w:tcPr>
          <w:p>
            <w:pPr>
              <w:spacing w:after="0"/>
              <w:rPr>
                <w:sz w:val="19"/>
                <w:szCs w:val="19"/>
                <w:color w:val="auto"/>
              </w:rPr>
            </w:pPr>
          </w:p>
        </w:tc>
      </w:tr>
      <w:tr>
        <w:trPr>
          <w:trHeight w:val="62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Del Nin</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Chief Operating Officer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Michael Del Nin</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Yaccarino</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Linda Yaccarino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Kelli Turner</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Kelli Turner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Bank</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David Bank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Flanders</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Scott Flanders</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Jashni</w:t>
            </w: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Jon Jashni</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22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8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6"/>
              </w:rPr>
              <w:t>890 5TH AVENUE PARTNERS, INC.</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8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rPr>
              <w:t>INDEX TO 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r>
      <w:tr>
        <w:trPr>
          <w:trHeight w:val="189"/>
        </w:trPr>
        <w:tc>
          <w:tcPr>
            <w:tcW w:w="10560" w:type="dxa"/>
            <w:vAlign w:val="bottom"/>
            <w:tcBorders>
              <w:top w:val="single" w:sz="8" w:color="CCECFF"/>
            </w:tcBorders>
            <w:gridSpan w:val="7"/>
            <w:shd w:val="clear" w:color="auto" w:fill="CCECFF"/>
          </w:tcPr>
          <w:p>
            <w:pPr>
              <w:spacing w:after="0" w:line="169" w:lineRule="exact"/>
              <w:rPr>
                <w:rFonts w:ascii="Arial" w:cs="Arial" w:eastAsia="Arial" w:hAnsi="Arial"/>
                <w:sz w:val="18"/>
                <w:szCs w:val="18"/>
                <w:color w:val="0000EE"/>
              </w:rPr>
            </w:pPr>
            <w:hyperlink w:anchor="page28">
              <w:r>
                <w:rPr>
                  <w:rFonts w:ascii="Arial" w:cs="Arial" w:eastAsia="Arial" w:hAnsi="Arial"/>
                  <w:sz w:val="18"/>
                  <w:szCs w:val="18"/>
                  <w:color w:val="0000EE"/>
                </w:rPr>
                <w:t>Report of Independent Registered Public Accounting Firm</w:t>
              </w:r>
            </w:hyperlink>
          </w:p>
        </w:tc>
        <w:tc>
          <w:tcPr>
            <w:tcW w:w="580" w:type="dxa"/>
            <w:vAlign w:val="bottom"/>
            <w:tcBorders>
              <w:top w:val="single" w:sz="8" w:color="auto"/>
            </w:tcBorders>
            <w:gridSpan w:val="3"/>
            <w:shd w:val="clear" w:color="auto" w:fill="CCECFF"/>
          </w:tcPr>
          <w:p>
            <w:pPr>
              <w:jc w:val="right"/>
              <w:ind w:right="120"/>
              <w:spacing w:after="0" w:line="169" w:lineRule="exact"/>
              <w:rPr>
                <w:rFonts w:ascii="Arial" w:cs="Arial" w:eastAsia="Arial" w:hAnsi="Arial"/>
                <w:sz w:val="18"/>
                <w:szCs w:val="18"/>
                <w:color w:val="0000EE"/>
              </w:rPr>
            </w:pPr>
            <w:hyperlink w:anchor="page28">
              <w:r>
                <w:rPr>
                  <w:rFonts w:ascii="Arial" w:cs="Arial" w:eastAsia="Arial" w:hAnsi="Arial"/>
                  <w:sz w:val="18"/>
                  <w:szCs w:val="18"/>
                  <w:color w:val="0000EE"/>
                </w:rPr>
                <w:t>F-2</w:t>
              </w:r>
            </w:hyperlink>
          </w:p>
        </w:tc>
        <w:tc>
          <w:tcPr>
            <w:tcW w:w="100" w:type="dxa"/>
            <w:vAlign w:val="bottom"/>
            <w:tcBorders>
              <w:top w:val="single" w:sz="8" w:color="CCECFF"/>
            </w:tcBorders>
            <w:shd w:val="clear" w:color="auto" w:fill="CCECFF"/>
          </w:tcPr>
          <w:p>
            <w:pPr>
              <w:spacing w:after="0"/>
              <w:rPr>
                <w:sz w:val="16"/>
                <w:szCs w:val="16"/>
                <w:color w:val="auto"/>
              </w:rPr>
            </w:pPr>
          </w:p>
        </w:tc>
      </w:tr>
      <w:tr>
        <w:trPr>
          <w:trHeight w:val="216"/>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6340" w:type="dxa"/>
            <w:vAlign w:val="bottom"/>
            <w:tcBorders>
              <w:top w:val="single" w:sz="8" w:color="CCECFF"/>
            </w:tcBorders>
            <w:gridSpan w:val="4"/>
          </w:tcPr>
          <w:p>
            <w:pPr>
              <w:spacing w:after="0"/>
              <w:rPr>
                <w:sz w:val="18"/>
                <w:szCs w:val="18"/>
                <w:color w:val="auto"/>
              </w:rPr>
            </w:pPr>
          </w:p>
        </w:tc>
        <w:tc>
          <w:tcPr>
            <w:tcW w:w="220" w:type="dxa"/>
            <w:vAlign w:val="bottom"/>
            <w:tcBorders>
              <w:top w:val="single" w:sz="8" w:color="CCEC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175"/>
        </w:trPr>
        <w:tc>
          <w:tcPr>
            <w:tcW w:w="10560" w:type="dxa"/>
            <w:vAlign w:val="bottom"/>
            <w:gridSpan w:val="7"/>
            <w:shd w:val="clear" w:color="auto" w:fill="CCEC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Balance Sheet as of December 31, 2020</w:t>
              </w:r>
            </w:hyperlink>
          </w:p>
        </w:tc>
        <w:tc>
          <w:tcPr>
            <w:tcW w:w="680" w:type="dxa"/>
            <w:vAlign w:val="bottom"/>
            <w:gridSpan w:val="4"/>
            <w:shd w:val="clear" w:color="auto" w:fill="CCECFF"/>
          </w:tcPr>
          <w:p>
            <w:pPr>
              <w:jc w:val="right"/>
              <w:ind w:right="2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F-3</w:t>
              </w:r>
            </w:hyperlink>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720" w:type="dxa"/>
            <w:vAlign w:val="bottom"/>
            <w:tcBorders>
              <w:top w:val="single" w:sz="8" w:color="0000EE"/>
            </w:tcBorders>
            <w:shd w:val="clear" w:color="auto" w:fill="CCECFF"/>
          </w:tcPr>
          <w:p>
            <w:pPr>
              <w:spacing w:after="0" w:line="20" w:lineRule="exact"/>
              <w:rPr>
                <w:sz w:val="1"/>
                <w:szCs w:val="1"/>
                <w:color w:val="auto"/>
              </w:rPr>
            </w:pPr>
          </w:p>
        </w:tc>
        <w:tc>
          <w:tcPr>
            <w:tcW w:w="1340" w:type="dxa"/>
            <w:vAlign w:val="bottom"/>
            <w:tcBorders>
              <w:top w:val="single" w:sz="8" w:color="CCECFF"/>
            </w:tcBorders>
            <w:shd w:val="clear" w:color="auto" w:fill="CCECFF"/>
          </w:tcPr>
          <w:p>
            <w:pPr>
              <w:spacing w:after="0" w:line="20" w:lineRule="exact"/>
              <w:rPr>
                <w:sz w:val="1"/>
                <w:szCs w:val="1"/>
                <w:color w:val="auto"/>
              </w:rPr>
            </w:pPr>
          </w:p>
        </w:tc>
        <w:tc>
          <w:tcPr>
            <w:tcW w:w="286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540" w:type="dxa"/>
            <w:vAlign w:val="bottom"/>
            <w:tcBorders>
              <w:top w:val="single" w:sz="8" w:color="CCECFF"/>
            </w:tcBorders>
            <w:shd w:val="clear" w:color="auto" w:fill="CCECFF"/>
          </w:tcPr>
          <w:p>
            <w:pPr>
              <w:spacing w:after="0" w:line="20" w:lineRule="exact"/>
              <w:rPr>
                <w:sz w:val="1"/>
                <w:szCs w:val="1"/>
                <w:color w:val="auto"/>
              </w:rPr>
            </w:pPr>
          </w:p>
        </w:tc>
        <w:tc>
          <w:tcPr>
            <w:tcW w:w="19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0000EE"/>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176"/>
        </w:trPr>
        <w:tc>
          <w:tcPr>
            <w:tcW w:w="10560" w:type="dxa"/>
            <w:vAlign w:val="bottom"/>
            <w:gridSpan w:val="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Statement of Operations for the Period from September 9, 2020 (Inception) to December 31, 2020</w:t>
              </w:r>
            </w:hyperlink>
          </w:p>
        </w:tc>
        <w:tc>
          <w:tcPr>
            <w:tcW w:w="680" w:type="dxa"/>
            <w:vAlign w:val="bottom"/>
            <w:gridSpan w:val="4"/>
          </w:tcPr>
          <w:p>
            <w:pPr>
              <w:jc w:val="right"/>
              <w:ind w:right="2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F-4</w:t>
              </w:r>
            </w:hyperlink>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8660" w:type="dxa"/>
            <w:vAlign w:val="bottom"/>
            <w:gridSpan w:val="6"/>
            <w:shd w:val="clear" w:color="auto" w:fill="CCEC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Statement of Changes in Stockholder’s Equity for the Period from September 9, 2020 (Inception) to December 31, 2020</w:t>
              </w:r>
            </w:hyperlink>
          </w:p>
        </w:tc>
        <w:tc>
          <w:tcPr>
            <w:tcW w:w="1900" w:type="dxa"/>
            <w:vAlign w:val="bottom"/>
            <w:shd w:val="clear" w:color="auto" w:fill="CCECFF"/>
          </w:tcPr>
          <w:p>
            <w:pPr>
              <w:spacing w:after="0"/>
              <w:rPr>
                <w:sz w:val="15"/>
                <w:szCs w:val="15"/>
                <w:color w:val="auto"/>
              </w:rPr>
            </w:pPr>
          </w:p>
        </w:tc>
        <w:tc>
          <w:tcPr>
            <w:tcW w:w="680" w:type="dxa"/>
            <w:vAlign w:val="bottom"/>
            <w:gridSpan w:val="4"/>
            <w:shd w:val="clear" w:color="auto" w:fill="CCECFF"/>
          </w:tcPr>
          <w:p>
            <w:pPr>
              <w:jc w:val="right"/>
              <w:ind w:righ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F-5</w:t>
              </w:r>
            </w:hyperlink>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720" w:type="dxa"/>
            <w:vAlign w:val="bottom"/>
            <w:tcBorders>
              <w:top w:val="single" w:sz="8" w:color="0000EE"/>
            </w:tcBorders>
            <w:shd w:val="clear" w:color="auto" w:fill="CCECFF"/>
          </w:tcPr>
          <w:p>
            <w:pPr>
              <w:spacing w:after="0" w:line="20" w:lineRule="exact"/>
              <w:rPr>
                <w:sz w:val="1"/>
                <w:szCs w:val="1"/>
                <w:color w:val="auto"/>
              </w:rPr>
            </w:pPr>
          </w:p>
        </w:tc>
        <w:tc>
          <w:tcPr>
            <w:tcW w:w="1340" w:type="dxa"/>
            <w:vAlign w:val="bottom"/>
            <w:tcBorders>
              <w:top w:val="single" w:sz="8" w:color="0000EE"/>
            </w:tcBorders>
            <w:shd w:val="clear" w:color="auto" w:fill="CCECFF"/>
          </w:tcPr>
          <w:p>
            <w:pPr>
              <w:spacing w:after="0" w:line="20" w:lineRule="exact"/>
              <w:rPr>
                <w:sz w:val="1"/>
                <w:szCs w:val="1"/>
                <w:color w:val="auto"/>
              </w:rPr>
            </w:pPr>
          </w:p>
        </w:tc>
        <w:tc>
          <w:tcPr>
            <w:tcW w:w="2860" w:type="dxa"/>
            <w:vAlign w:val="bottom"/>
            <w:tcBorders>
              <w:top w:val="single" w:sz="8" w:color="0000EE"/>
            </w:tcBorders>
            <w:shd w:val="clear" w:color="auto" w:fill="CCECFF"/>
          </w:tcPr>
          <w:p>
            <w:pPr>
              <w:spacing w:after="0" w:line="20" w:lineRule="exact"/>
              <w:rPr>
                <w:sz w:val="1"/>
                <w:szCs w:val="1"/>
                <w:color w:val="auto"/>
              </w:rPr>
            </w:pPr>
          </w:p>
        </w:tc>
        <w:tc>
          <w:tcPr>
            <w:tcW w:w="40" w:type="dxa"/>
            <w:vAlign w:val="bottom"/>
            <w:tcBorders>
              <w:top w:val="single" w:sz="8" w:color="0000EE"/>
            </w:tcBorders>
            <w:shd w:val="clear" w:color="auto" w:fill="CCECFF"/>
          </w:tcPr>
          <w:p>
            <w:pPr>
              <w:spacing w:after="0" w:line="20" w:lineRule="exact"/>
              <w:rPr>
                <w:sz w:val="1"/>
                <w:szCs w:val="1"/>
                <w:color w:val="auto"/>
              </w:rPr>
            </w:pPr>
          </w:p>
        </w:tc>
        <w:tc>
          <w:tcPr>
            <w:tcW w:w="1540" w:type="dxa"/>
            <w:vAlign w:val="bottom"/>
            <w:tcBorders>
              <w:top w:val="single" w:sz="8" w:color="0000EE"/>
            </w:tcBorders>
            <w:shd w:val="clear" w:color="auto" w:fill="CCECFF"/>
          </w:tcPr>
          <w:p>
            <w:pPr>
              <w:spacing w:after="0" w:line="20" w:lineRule="exact"/>
              <w:rPr>
                <w:sz w:val="1"/>
                <w:szCs w:val="1"/>
                <w:color w:val="auto"/>
              </w:rPr>
            </w:pPr>
          </w:p>
        </w:tc>
        <w:tc>
          <w:tcPr>
            <w:tcW w:w="19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0000EE"/>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8660" w:type="dxa"/>
            <w:vAlign w:val="bottom"/>
            <w:gridSpan w:val="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Statement of Cash Flows for the Period from September 9, 2020 (Inception) to December 31, 2020</w:t>
              </w:r>
            </w:hyperlink>
          </w:p>
        </w:tc>
        <w:tc>
          <w:tcPr>
            <w:tcW w:w="1900" w:type="dxa"/>
            <w:vAlign w:val="bottom"/>
          </w:tcPr>
          <w:p>
            <w:pPr>
              <w:spacing w:after="0"/>
              <w:rPr>
                <w:sz w:val="15"/>
                <w:szCs w:val="15"/>
                <w:color w:val="auto"/>
              </w:rPr>
            </w:pPr>
          </w:p>
        </w:tc>
        <w:tc>
          <w:tcPr>
            <w:tcW w:w="680" w:type="dxa"/>
            <w:vAlign w:val="bottom"/>
            <w:gridSpan w:val="4"/>
          </w:tcPr>
          <w:p>
            <w:pPr>
              <w:jc w:val="right"/>
              <w:ind w:right="2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F-6</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560" w:type="dxa"/>
            <w:vAlign w:val="bottom"/>
            <w:gridSpan w:val="7"/>
            <w:shd w:val="clear" w:color="auto" w:fill="CCEC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Financial Statements</w:t>
              </w:r>
            </w:hyperlink>
          </w:p>
        </w:tc>
        <w:tc>
          <w:tcPr>
            <w:tcW w:w="680" w:type="dxa"/>
            <w:vAlign w:val="bottom"/>
            <w:gridSpan w:val="4"/>
            <w:shd w:val="clear" w:color="auto" w:fill="CCECFF"/>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F-7</w:t>
              </w:r>
            </w:hyperlink>
          </w:p>
        </w:tc>
      </w:tr>
      <w:tr>
        <w:trPr>
          <w:trHeight w:val="648"/>
        </w:trPr>
        <w:tc>
          <w:tcPr>
            <w:tcW w:w="21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CCECFF"/>
              <w:bottom w:val="single" w:sz="8" w:color="auto"/>
            </w:tcBorders>
          </w:tcPr>
          <w:p>
            <w:pPr>
              <w:spacing w:after="0"/>
              <w:rPr>
                <w:sz w:val="24"/>
                <w:szCs w:val="24"/>
                <w:color w:val="auto"/>
              </w:rPr>
            </w:pPr>
          </w:p>
        </w:tc>
        <w:tc>
          <w:tcPr>
            <w:tcW w:w="1340" w:type="dxa"/>
            <w:vAlign w:val="bottom"/>
            <w:tcBorders>
              <w:top w:val="single" w:sz="8" w:color="CCECFF"/>
              <w:bottom w:val="single" w:sz="8" w:color="auto"/>
            </w:tcBorders>
          </w:tcPr>
          <w:p>
            <w:pPr>
              <w:spacing w:after="0"/>
              <w:rPr>
                <w:sz w:val="24"/>
                <w:szCs w:val="24"/>
                <w:color w:val="auto"/>
              </w:rPr>
            </w:pPr>
          </w:p>
        </w:tc>
        <w:tc>
          <w:tcPr>
            <w:tcW w:w="6340" w:type="dxa"/>
            <w:vAlign w:val="bottom"/>
            <w:tcBorders>
              <w:top w:val="single" w:sz="8" w:color="CCECFF"/>
              <w:bottom w:val="single" w:sz="8" w:color="auto"/>
            </w:tcBorders>
            <w:gridSpan w:val="4"/>
          </w:tcPr>
          <w:p>
            <w:pPr>
              <w:jc w:val="center"/>
              <w:ind w:right="3580"/>
              <w:spacing w:after="0"/>
              <w:rPr>
                <w:sz w:val="20"/>
                <w:szCs w:val="20"/>
                <w:color w:val="auto"/>
              </w:rPr>
            </w:pPr>
            <w:r>
              <w:rPr>
                <w:rFonts w:ascii="Arial" w:cs="Arial" w:eastAsia="Arial" w:hAnsi="Arial"/>
                <w:sz w:val="18"/>
                <w:szCs w:val="18"/>
                <w:color w:val="auto"/>
                <w:w w:val="88"/>
              </w:rPr>
              <w:t>F-1</w:t>
            </w:r>
          </w:p>
        </w:tc>
        <w:tc>
          <w:tcPr>
            <w:tcW w:w="220" w:type="dxa"/>
            <w:vAlign w:val="bottom"/>
            <w:tcBorders>
              <w:top w:val="single" w:sz="8" w:color="CCECFF"/>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CFF"/>
              <w:bottom w:val="single" w:sz="8" w:color="auto"/>
            </w:tcBorders>
          </w:tcPr>
          <w:p>
            <w:pPr>
              <w:spacing w:after="0"/>
              <w:rPr>
                <w:sz w:val="24"/>
                <w:szCs w:val="24"/>
                <w:color w:val="auto"/>
              </w:rPr>
            </w:pPr>
          </w:p>
        </w:tc>
        <w:tc>
          <w:tcPr>
            <w:tcW w:w="100" w:type="dxa"/>
            <w:vAlign w:val="bottom"/>
            <w:tcBorders>
              <w:top w:val="single" w:sz="8" w:color="CCECFF"/>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7" w:name="page28"/>
    <w:bookmarkEnd w:id="2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890 5th Avenue Partners,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890 5th Avenue Partners, Inc. (the “Company”) as of December 31, 2020, the related statements of operations, stockholders’ equity and cash flows for the period from September 9,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September 9,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9560" w:type="dxa"/>
            <w:vAlign w:val="bottom"/>
          </w:tcPr>
          <w:p>
            <w:pPr>
              <w:ind w:left="4180"/>
              <w:spacing w:after="0"/>
              <w:rPr>
                <w:sz w:val="20"/>
                <w:szCs w:val="20"/>
                <w:color w:val="auto"/>
              </w:rPr>
            </w:pPr>
            <w:r>
              <w:rPr>
                <w:rFonts w:ascii="Arial" w:cs="Arial" w:eastAsia="Arial" w:hAnsi="Arial"/>
                <w:sz w:val="18"/>
                <w:szCs w:val="18"/>
                <w:b w:val="1"/>
                <w:bCs w:val="1"/>
                <w:color w:val="auto"/>
              </w:rPr>
              <w:t>890 5TH AVENUE PARTNERS, INC.</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560" w:type="dxa"/>
            <w:vAlign w:val="bottom"/>
          </w:tcPr>
          <w:p>
            <w:pPr>
              <w:ind w:left="4860"/>
              <w:spacing w:after="0"/>
              <w:rPr>
                <w:sz w:val="20"/>
                <w:szCs w:val="20"/>
                <w:color w:val="auto"/>
              </w:rPr>
            </w:pPr>
            <w:r>
              <w:rPr>
                <w:rFonts w:ascii="Arial" w:cs="Arial" w:eastAsia="Arial" w:hAnsi="Arial"/>
                <w:sz w:val="18"/>
                <w:szCs w:val="18"/>
                <w:b w:val="1"/>
                <w:bCs w:val="1"/>
                <w:color w:val="auto"/>
              </w:rPr>
              <w:t>BALANCE SHEET</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560" w:type="dxa"/>
            <w:vAlign w:val="bottom"/>
          </w:tcPr>
          <w:p>
            <w:pPr>
              <w:spacing w:after="0"/>
              <w:rPr>
                <w:sz w:val="24"/>
                <w:szCs w:val="24"/>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201,781</w:t>
            </w: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r>
      <w:tr>
        <w:trPr>
          <w:trHeight w:val="209"/>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560" w:type="dxa"/>
            <w:vAlign w:val="bottom"/>
          </w:tcPr>
          <w:p>
            <w:pPr>
              <w:spacing w:after="0"/>
              <w:rPr>
                <w:sz w:val="20"/>
                <w:szCs w:val="20"/>
                <w:color w:val="auto"/>
              </w:rPr>
            </w:pPr>
            <w:r>
              <w:rPr>
                <w:rFonts w:ascii="Arial" w:cs="Arial" w:eastAsia="Arial" w:hAnsi="Arial"/>
                <w:sz w:val="18"/>
                <w:szCs w:val="18"/>
                <w:color w:val="auto"/>
              </w:rPr>
              <w:t>Deferred offering costs associated with the initial public offering</w:t>
            </w: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338,798</w:t>
            </w:r>
          </w:p>
        </w:tc>
      </w:tr>
      <w:tr>
        <w:trPr>
          <w:trHeight w:val="223"/>
        </w:trPr>
        <w:tc>
          <w:tcPr>
            <w:tcW w:w="9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120,269</w:t>
            </w: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99,931</w:t>
            </w: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Advances from related party</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13,050</w:t>
            </w:r>
          </w:p>
        </w:tc>
      </w:tr>
      <w:tr>
        <w:trPr>
          <w:trHeight w:val="229"/>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09"/>
        </w:trPr>
        <w:tc>
          <w:tcPr>
            <w:tcW w:w="9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533,700</w:t>
            </w:r>
          </w:p>
        </w:tc>
        <w:tc>
          <w:tcPr>
            <w:tcW w:w="100" w:type="dxa"/>
            <w:vAlign w:val="bottom"/>
            <w:tcBorders>
              <w:bottom w:val="single" w:sz="8" w:color="CCEEFF"/>
            </w:tcBorders>
          </w:tcPr>
          <w:p>
            <w:pPr>
              <w:spacing w:after="0"/>
              <w:rPr>
                <w:sz w:val="18"/>
                <w:szCs w:val="18"/>
                <w:color w:val="auto"/>
              </w:rPr>
            </w:pPr>
          </w:p>
        </w:tc>
      </w:tr>
      <w:tr>
        <w:trPr>
          <w:trHeight w:val="210"/>
        </w:trPr>
        <w:tc>
          <w:tcPr>
            <w:tcW w:w="9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Class F common stock, $0.0001 par value; 25,000,000 shares authorized; 7,187,500 shares issued and outstanding (1)</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24,281</w:t>
            </w:r>
          </w:p>
        </w:tc>
      </w:tr>
      <w:tr>
        <w:trPr>
          <w:trHeight w:val="22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(11,306)</w:t>
            </w:r>
          </w:p>
        </w:tc>
      </w:tr>
      <w:tr>
        <w:trPr>
          <w:trHeight w:val="210"/>
        </w:trPr>
        <w:tc>
          <w:tcPr>
            <w:tcW w:w="9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tcBorders>
              <w:bottom w:val="single" w:sz="8" w:color="CCEEFF"/>
            </w:tcBorders>
          </w:tcPr>
          <w:p>
            <w:pPr>
              <w:spacing w:after="0"/>
              <w:rPr>
                <w:sz w:val="18"/>
                <w:szCs w:val="18"/>
                <w:color w:val="auto"/>
              </w:rPr>
            </w:pPr>
          </w:p>
        </w:tc>
      </w:tr>
      <w:tr>
        <w:trPr>
          <w:trHeight w:val="223"/>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308"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This number includes up to 937,500 shares of common stock subject to forfeiture if the over-allotment option is not exercised in full or in part by the underwriters. On January 14, 2021, the over-allotment option was exercised in full. Accordingly, none of these shares were forfeited.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8660" w:type="dxa"/>
            <w:vAlign w:val="bottom"/>
          </w:tcPr>
          <w:p>
            <w:pPr>
              <w:ind w:left="4180"/>
              <w:spacing w:after="0"/>
              <w:rPr>
                <w:sz w:val="20"/>
                <w:szCs w:val="20"/>
                <w:color w:val="auto"/>
              </w:rPr>
            </w:pPr>
            <w:r>
              <w:rPr>
                <w:rFonts w:ascii="Arial" w:cs="Arial" w:eastAsia="Arial" w:hAnsi="Arial"/>
                <w:sz w:val="18"/>
                <w:szCs w:val="18"/>
                <w:b w:val="1"/>
                <w:bCs w:val="1"/>
                <w:color w:val="auto"/>
              </w:rPr>
              <w:t>890 5TH AVENUE PARTNERS, INC.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60" w:type="dxa"/>
            <w:vAlign w:val="bottom"/>
          </w:tcPr>
          <w:p>
            <w:pPr>
              <w:ind w:left="4320"/>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For the Period from</w:t>
            </w:r>
          </w:p>
        </w:tc>
      </w:tr>
      <w:tr>
        <w:trPr>
          <w:trHeight w:val="230"/>
        </w:trPr>
        <w:tc>
          <w:tcPr>
            <w:tcW w:w="866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b w:val="1"/>
                <w:bCs w:val="1"/>
                <w:color w:val="auto"/>
                <w:w w:val="92"/>
              </w:rPr>
              <w:t>September 9, 2020 (inception) to</w:t>
            </w:r>
          </w:p>
        </w:tc>
      </w:tr>
      <w:tr>
        <w:trPr>
          <w:trHeight w:val="234"/>
        </w:trPr>
        <w:tc>
          <w:tcPr>
            <w:tcW w:w="8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10,856</w:t>
            </w:r>
          </w:p>
        </w:tc>
        <w:tc>
          <w:tcPr>
            <w:tcW w:w="80" w:type="dxa"/>
            <w:vAlign w:val="bottom"/>
          </w:tcPr>
          <w:p>
            <w:pPr>
              <w:spacing w:after="0"/>
              <w:rPr>
                <w:sz w:val="18"/>
                <w:szCs w:val="18"/>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expenses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r>
      <w:tr>
        <w:trPr>
          <w:trHeight w:val="263"/>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8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323"/>
        </w:trPr>
        <w:tc>
          <w:tcPr>
            <w:tcW w:w="8660" w:type="dxa"/>
            <w:vAlign w:val="bottom"/>
          </w:tcPr>
          <w:p>
            <w:pPr>
              <w:spacing w:after="0" w:line="284" w:lineRule="exact"/>
              <w:rPr>
                <w:sz w:val="20"/>
                <w:szCs w:val="20"/>
                <w:color w:val="auto"/>
              </w:rPr>
            </w:pPr>
            <w:r>
              <w:rPr>
                <w:rFonts w:ascii="Arial" w:cs="Arial" w:eastAsia="Arial" w:hAnsi="Arial"/>
                <w:sz w:val="18"/>
                <w:szCs w:val="18"/>
                <w:b w:val="1"/>
                <w:bCs w:val="1"/>
                <w:color w:val="auto"/>
              </w:rPr>
              <w:t xml:space="preserve">Weighted average shares outstanding, basic and diluted </w:t>
            </w:r>
            <w:r>
              <w:rPr>
                <w:rFonts w:ascii="Arial" w:cs="Arial" w:eastAsia="Arial" w:hAnsi="Arial"/>
                <w:sz w:val="29"/>
                <w:szCs w:val="29"/>
                <w:b w:val="1"/>
                <w:bCs w:val="1"/>
                <w:color w:val="auto"/>
                <w:vertAlign w:val="superscript"/>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c>
          <w:tcPr>
            <w:tcW w:w="80" w:type="dxa"/>
            <w:vAlign w:val="bottom"/>
          </w:tcPr>
          <w:p>
            <w:pPr>
              <w:spacing w:after="0"/>
              <w:rPr>
                <w:sz w:val="24"/>
                <w:szCs w:val="24"/>
                <w:color w:val="auto"/>
              </w:rPr>
            </w:pPr>
          </w:p>
        </w:tc>
      </w:tr>
      <w:tr>
        <w:trPr>
          <w:trHeight w:val="197"/>
        </w:trPr>
        <w:tc>
          <w:tcPr>
            <w:tcW w:w="8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866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32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937,500 shares of common stock subject to forfeiture if the over-allotment option is not exercised in full or in part by the underwriters. On January 14, 2021, the over-allotment option was exercised in full. Accordingly, none of these shares were forfeited.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Period from September 9, 2020 (inception) to December 31, 2020</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Balance - September 9, 2020 (inception) </w:t>
      </w:r>
      <w:r>
        <w:rPr>
          <w:rFonts w:ascii="Arial" w:cs="Arial" w:eastAsia="Arial" w:hAnsi="Arial"/>
          <w:sz w:val="18"/>
          <w:szCs w:val="18"/>
          <w:color w:val="auto"/>
        </w:rPr>
        <w:t>Issuance of Class F common stock to Sponsor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2020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09"/>
        </w:trPr>
        <w:tc>
          <w:tcPr>
            <w:tcW w:w="23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Class F</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 Paid-In</w:t>
            </w:r>
          </w:p>
        </w:tc>
        <w:tc>
          <w:tcPr>
            <w:tcW w:w="1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 (1)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34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94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7,187,500</w:t>
            </w:r>
          </w:p>
        </w:tc>
        <w:tc>
          <w:tcPr>
            <w:tcW w:w="9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r>
      <w:tr>
        <w:trPr>
          <w:trHeight w:val="244"/>
        </w:trPr>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(11,306)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(11,306)</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7,187,500</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13,694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-607695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-325120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600"/>
            <w:col w:w="7320"/>
          </w:cols>
          <w:pgMar w:left="320" w:top="904" w:right="339" w:bottom="1440" w:gutter="0" w:footer="0" w:header="0"/>
          <w:type w:val="continuous"/>
        </w:sectPr>
      </w:pPr>
    </w:p>
    <w:p>
      <w:pPr>
        <w:spacing w:after="0" w:line="2" w:lineRule="exact"/>
        <w:rPr>
          <w:sz w:val="20"/>
          <w:szCs w:val="20"/>
          <w:color w:val="auto"/>
        </w:rPr>
      </w:pPr>
    </w:p>
    <w:p>
      <w:pPr>
        <w:ind w:left="660" w:hanging="328"/>
        <w:spacing w:after="0" w:line="308"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This number includes up to 937,500 shares of common stock subject to forfeiture if the over-allotment option is not exercised in full or in part by the underwriters. On January 14, 2021, the over-allotment option was exercised in full. Accordingly, none of these shares were forfeited.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1" w:name="page32"/>
    <w:bookmarkEnd w:id="31"/>
    <w:p>
      <w:pPr>
        <w:jc w:val="center"/>
        <w:ind w:left="2940"/>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Franchise tax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note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Offering costs paid by related party under promissory note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Expenses paid by related party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257" w:lineRule="auto"/>
        <w:rPr>
          <w:sz w:val="20"/>
          <w:szCs w:val="20"/>
          <w:color w:val="auto"/>
        </w:rPr>
      </w:pPr>
      <w:r>
        <w:rPr>
          <w:rFonts w:ascii="Arial" w:cs="Arial" w:eastAsia="Arial" w:hAnsi="Arial"/>
          <w:sz w:val="18"/>
          <w:szCs w:val="18"/>
          <w:b w:val="1"/>
          <w:bCs w:val="1"/>
          <w:color w:val="auto"/>
        </w:rPr>
        <w:t>For the Period from September 9, 2020 (inception) through</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(11,306)</w:t>
            </w: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(6,815)</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9,844</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450</w:t>
            </w:r>
          </w:p>
        </w:tc>
      </w:tr>
      <w:tr>
        <w:trPr>
          <w:trHeight w:val="209"/>
        </w:trPr>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(7,827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62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(115,392)</w:t>
            </w: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209,608</w:t>
            </w:r>
          </w:p>
        </w:tc>
        <w:tc>
          <w:tcPr>
            <w:tcW w:w="4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201,781</w:t>
            </w:r>
          </w:p>
        </w:tc>
        <w:tc>
          <w:tcPr>
            <w:tcW w:w="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201,781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14"/>
        </w:trPr>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110,425</w:t>
            </w:r>
          </w:p>
        </w:tc>
      </w:tr>
      <w:tr>
        <w:trPr>
          <w:trHeight w:val="216"/>
        </w:trPr>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99,931</w:t>
            </w:r>
          </w:p>
        </w:tc>
      </w:tr>
      <w:tr>
        <w:trPr>
          <w:trHeight w:val="216"/>
        </w:trPr>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21"/>
              <w:spacing w:after="0"/>
              <w:rPr>
                <w:sz w:val="20"/>
                <w:szCs w:val="20"/>
                <w:color w:val="auto"/>
              </w:rPr>
            </w:pPr>
            <w:r>
              <w:rPr>
                <w:rFonts w:ascii="Arial" w:cs="Arial" w:eastAsia="Arial" w:hAnsi="Arial"/>
                <w:sz w:val="18"/>
                <w:szCs w:val="18"/>
                <w:color w:val="auto"/>
              </w:rPr>
              <w:t>13,000</w:t>
            </w:r>
          </w:p>
        </w:tc>
      </w:tr>
      <w:tr>
        <w:trPr>
          <w:trHeight w:val="230"/>
        </w:trPr>
        <w:tc>
          <w:tcPr>
            <w:tcW w:w="860" w:type="dxa"/>
            <w:vAlign w:val="bottom"/>
            <w:gridSpan w:val="2"/>
          </w:tcPr>
          <w:p>
            <w:pPr>
              <w:jc w:val="right"/>
              <w:ind w:right="729"/>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r>
    </w:tbl>
    <w:p>
      <w:pPr>
        <w:sectPr>
          <w:pgSz w:w="11900" w:h="16838" w:orient="portrait"/>
          <w:cols w:equalWidth="0" w:num="2">
            <w:col w:w="8320" w:space="540"/>
            <w:col w:w="2340"/>
          </w:cols>
          <w:pgMar w:left="320" w:top="904" w:right="3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890 5th Avenue Partners, Inc. (the “Company”) is a blank check company incorporated in Delaware on September 9,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September 9, 2020 (inception) through December 31, 2020 relates to the Company’s formation and the initial public offering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and Financing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sponsor is 200 Park Avenue Partners, LLC, a Delaware limited liability company (the “Sponsor”). The registration statement for the Company’s Initial Public Offering was declared effective on January 11, 2021. On January 14, 2021, the Company consummated its Initial Public Offering of 28,750,000 units (the “Units” and, with respect to the Class A common stock included in the Units being offered, the “Public Shares”), including 3,750,000 additional Units to cover over-allotments (the “Over-Allotment Units”), at $10.00 per Unit, generating gross proceeds of $287.5 million, and incurring offering costs of approximately $6.2 million.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 (Note 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an aggregate of $287.5 million ($10.00 per Unit) of the net proceeds of the Initial Public Offering and certain of the proceeds of the Private Placement was held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taxes payable on the income earned on the trust account) at the time of signing a definitive agreement in connection with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t>The Company will provide the holders (the “Public Stockholders”) of the Public Shares with the opportunity to redeem all or a portion of their Public Shares upon the completion of a Business Combination either (i) in connection with a stockholder meeting called to approve the Business Combination or</w:t>
      </w:r>
    </w:p>
    <w:p>
      <w:pPr>
        <w:jc w:val="both"/>
        <w:ind w:firstLine="8"/>
        <w:spacing w:after="0" w:line="284"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“A&amp;R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agreed to vote their Founder Shares (as defined below in Note 4) and any Public Shares purchased during or after the Initial Public Offering in favor of a Business Combination. In addition, the initial stockholders agreed to waive their redemption rights with respect to their Founder Shares and Public Shares in connection with the completion of a Business Combination.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A&amp;R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Founder Shares (as defined in Note 4) prior to the Initial Public Offering (the “initial stockholders”) agreed not to propose an amendment to the A&amp;R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January 14, 2023 (the “Combination Period”), the Company will (i)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the remaining stockholders and the board of directors, dissolve and liquidate, subject in each case to the Company’s obligations under Delaware law to provide for claims of creditors and the requirements of other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stockholders agreed to waive their rights to liquidating distributions from the Trust Account with respect to the Founder Shares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6"/>
          <w:szCs w:val="16"/>
          <w:color w:val="auto"/>
        </w:rPr>
        <w:t>In the event of such distribution, it is possible that the per share value of the residual assets remaining available for distribution (including Trust Account assets) will be only $10.00. In order to protect the amounts held in the Trust Account, the Sponsor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approximately $202,000 in cash, and working capital deficit of approximately $325,000, excluding franchise tax payable.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liquidity needs prior to the consummation of the Initial Public Offering were satisfied through the cash proceeds of $25,000 from the sale of the Founder Shares (as defined in Note 4), loan from the Sponsor of $300,000 under the Note (as defined in Note 4), and advances from related party of approximately $13,000 (Note 5). The Company repaid the Note of $300,000 in full on January 14, 2021 and the Company reimbursed the advances from the related party in full in February 2021. Subsequent to the consummation of the Initial Public Offering, the Company’s liquidity needs have been satisfied through the net proceeds from the consummation of the Initial Public Offering and the Private Placement held outside of the Trust Account.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 foregoing, management has since reevaluated the Company’s liquidity and financial condition and believes that the Company will have sufficient working capital and borrowing capacity to meet its needs through the earlier of the consummation of a Business Combination or one year from this filing. Over this time period, the Company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at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 Associated with the Initial Public Offering</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complies with the requirements of the ASC 340-10-S99-1 and SEC Staff Accounting Bulletin Topic 5A – “Expenses of Offering.” Deferred offering costs consist of legal, accounting, and other costs incurred that were directly related to the Initial Public Offering and recorded as an asset on the Balance Sheet. These costs, along with underwriting fees were charged to stockholders’ equity upon the completion of the Initial Public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weighted-average number of shares of common stock outstanding during the periods excluding shares subject to forfeiture. Weighted average shares were reduced for the effect of an aggregate of 937,500 shares of Class F Common Stock that are subject to forfeiture if the over-allotment option is not exercised by the underwriters. The underwriter exercised its over-allotment option in full on January 14, 2021; thus, the 937,500 shares of Class F Common Stock were no longer subject to forfeiture. At December 31, 2020, the Company did not have any dilutive securities and other contracts that could, potentially, be exercised or converted into common stock and then share in the earnings of us. As a result, diluted loss per share is the same as basic loss per share for the periods presented.</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the asset and liability method of accounting for income taxes under FASB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taxes were deemed immaterial as of December 31, 2020.</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de minimis for the period from September 9, 2020 (inception) through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2021, the Company consummated its Initial Public Offering of 28,750,000 Units, including 3,750,000 Over-Allotment Units, at $10.00 per Unit, generating gross proceeds of $287.5 million, and incurring offering costs of approximately $6.2 million.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Unit consists of one share of Class A common stock, and one-third of one redeemable warrant (each, a “Public Warrant”). Each Public Warrant entitles the holder to purchase one share of Class A common stock at a price of $11.50 per share, subject to adjustment (see Note 6).</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certain qualified institutional buyer (the “Anchor Investor”) purchased 1,000,000 Units in the Initial Public Offering. The Anchor Investor subscribed for membership interests in the Sponsor representing an indirect beneficial interest in 212,621 Founder Shares and 28,750 Private Placement Units.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Anchor Investor agreed to vote any shares that it holds (including any Public Shares that it holds) in favor of the initial Business Combination, and a smaller portion of affirmative votes from other Public Shareholders would be required to approve the initial Business Combination. As a result of the Private Placement Units that the Anchor Investor holds, it may have different interests with respect to a vote on an initial Business Combination than other Public Stockholders.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Anchor Investor will not have any rights to the funds held in the Trust Account beyond the rights afforded to the Public Stockholders, as described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2020, the Sponsor purchased 7,187,500 shares of the Company’s Class F common stock, par value $0.0001 per share, (the “Founder Shares”) for an aggregate price of $25,000. The initial stockholders agreed to forfeit up to 937,500 Founder Shares to the extent that the over-allotment option was not exercised in full by the underwriters, so that the Founder Shares would represent 20% of the Company’s issued and outstanding shares after the Initial Public Offering (excluding the shares comprising the Private Placement Units). The underwriter exercised its over-allotment option in full on January 14, 2021; thus, the 937,500 Founder Shares were no longer subject to forfeiture.</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initial stockholders agreed, subject to limited exceptions, not to transfer, assign or sell any of the Founder Shares until the earlier to occur of: (A) one year after the completion of the initial Business Combination or (B) subsequent to the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following the completion of the initial Business Combination on which the Company completes a liquidation, merger, stock exchange, reorganization or other similar transaction that results in all of the stockholders having the right to exchange their shares of Class A common stock for cash, securities or other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777,500 Private Placement Units at a price of $10.00 per Private Placement Unit to the Sponsor, PA 2 Co-Investment LLC, and Craig-Hallum Capital Group LLC and its affiliate, generating proceeds of approximately $7.8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Placement Units (including the shares comprising the Private Placement Units, the Private Placement Warrants (as defined below) and shares of Class A common stock issuable upon exercise of such warrants) are not transferable or salable until 30 days after the completion of the initial Business Combination.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whole private placement warrant underlying the Private Placement Units (the “Private Placement Warrants”) is exercisable for one whole share of Class A common stock at a price of $11.50 per share. A portion of the proceeds from the Private Placement Units has been added to the proceeds from the Initial Public Offering to be held in the Trust Account. If the Company does not complete a Business Combination within the Combination Period, the Private Placement Units and the underlying securities will expire worthless.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15, 2020,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$300,000 under the Note as of December 31, 2020 and repaid the Note in full on January 14,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 affiliate of the Sponsor advanced approximately $13,000 to cover for certain expenses on behalf of the Company. The Company reimbursed the advances from the affiliate of the Sponsor in full in February 2021.</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members of our management team or any of their affiliates or other third parties,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units of the post-Business Combination entity at a price of $10.00 per unit at the option of the lender. The units would be identical to the Private Placement Units. Except for the foregoing, the terms of such Working Capital Loans, if any, have not been determined and no written agreements exist with respect to such loans. To date, the Company had no borrowings under the Working Capital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on the date of the listing of the Units on the Nasdaq Capital Market through the earlier of the consummation of the initial Business Combination or the liquidation of the Company, the Company will pay the Sponsor $20,000 per month for office space, utilities, general office and secretarial support, and administrative and support services.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Sponsor, executive officers and directors, or any of their respective affiliates will be reimbursed for any out-of-pocket expenses incurred in connection with activities on the Company's behalf such as identifying potential partner businesses and performing due diligence on suitable Business Combinations. The Company's audit committee will review on a quarterly basis all payments that were made by the Company to the Sponsor, executive officers or directors, or the Company's or their affiliates. Any such payments prior to an initial Business Combination will be made using funds held outside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the Company registered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engaged certain underwriters in connection with the Business Combination to assist the Company in holding meetings with the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scope of engagement excludes identifying and/or evaluating possible acquisition candidates. Pursuant to the agreement with the underwriters, the marketing fee payable to the underwriters will be 3.5% of the gross proceeds of the Initial Public Offering, approximately $10.1 million in the aggregate.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Equity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 The Company filed its initial Certificate of Incorporation on September 9, 2020, which authorized no shares of preferred stock.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filed its A&amp;R Certificate of Incorporation on January 11, 2021, which authorized 5,000,000 shares of preferred stock, par value $0.0001 per share. The Company is authorized to issue 5,000,000 shares of preferred stock, par value $0.0001 per share, with such designations, voting and other rights and preferences as may be determined from time to time by the Company’s board of directors. As of December 31, 2020, the Company was not authorized to issue shares of preferred stock and therefore there were no shares of preferred stock issued or outstanding as of December 31,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filed its initial Certificate of Incorporation on September 9, 2020, which authorized no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Company filed its A&amp;R Certificate of Incorporation on January 11, 2021, which authorized 500,000,000 shares of Class A common stock, par value $0.0001 per share. The Company is authorized to issue 500,000,000 shares of Class A common stock with a par value of $0.0001 per share. As of December 31, 2020, the Company was not authorized to issue shares of Class A common stock and therefore there were no shares of Class A common stock issued or outstanding as of December 31,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Class F Common Stock — </w:t>
      </w:r>
      <w:r>
        <w:rPr>
          <w:rFonts w:ascii="Arial" w:cs="Arial" w:eastAsia="Arial" w:hAnsi="Arial"/>
          <w:sz w:val="17"/>
          <w:szCs w:val="17"/>
          <w:color w:val="auto"/>
        </w:rPr>
        <w:t>The Company is authorized to issue 25,000,000 shares of Class F common stock with a par value of $0.0001 per share.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2020, the Company issued 7,187,500 shares of Class F common stock, including an aggregate of 937,500 shares of Class F common stock that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(excluding the shares comprising the Private Placement Units). The underwriter exercised its over-allotment option in full on January 14, 2021; thus, the 937,500 shares of Class F common stock were no longer subject to forfeiture.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the Class A common stock and holders of the Class F common stock of record are entitled to one vote for each share held on all matters to be voted on by stockholders, including any vote in connection with the initial Business Combination, and vote together as a single class, except as required by law.</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Class F common stock will automatically convert into Class A common stock at the time of the initial Business Combination, or earlier at the option of the holder, on a one-for-one basis, subject to increase in respect of the issuance of certain securities, as provided herein. In the case that additional shares of Class A common stock, or equity-linked securities (as described herein), are issued or deemed issued in excess of the amounts sold in the Initial Public Offering and related to the closing of the initial Business Combination, the ratio at which shares of Class F common stock shall convert into shares of Class A common stock will be adjusted (unless the holders of a majority of the outstanding shares of Class F common stock agree to waive such adjustment with respect to any such issuance or deemed issuance) so that the number of shares of Class A common stock issuable upon conversion of all shares of Class F common stock will equal, in the aggregate, 20% of the aggregate number of all shares of common stock outstanding upon the completion of the Initial Public Offering, plus the aggregate number of shares of Class A common stock and equity-linked securities issued or deemed issued in connection with the initial Business Combination (net of the number of shares of Class A common stock redeemed in connection with the initial Business Combination), excluding any shares or equity-linked securities issued, or to be issued, to any seller in the initial Business Combination.</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Warrants — </w:t>
      </w:r>
      <w:r>
        <w:rPr>
          <w:rFonts w:ascii="Arial" w:cs="Arial" w:eastAsia="Arial" w:hAnsi="Arial"/>
          <w:sz w:val="17"/>
          <w:szCs w:val="17"/>
          <w:color w:val="auto"/>
        </w:rPr>
        <w:t>Public Warrants may only be exercised for a whole number of shares. No fractional Public Warrants will be issued upon separation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the Company will use its commercially reasonable efforts to file with the SEC and have an effective registration statement covering the shares of the Class A common stock issuable upon exercise of the warrants and to maintain a current prospectus relating to those shares of the Class A common stock until the warrants expire or are redeemed, as specified in the warrant agreement. If a registration statement covering the shares of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The warrants have an exercise price of $11.50 per whole share, subject to adjustments, and will expire five years after the completion of a Business Combination or earlier upon redemption or liquidation.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initial stockholders or their respective affiliates, without taking into account any Founder Shares or shares comprising the Private Placement Units held by them prior to such issuance), (y) the aggregate gross proceeds from such issuances represent more than 60% of the total equity proceeds, and interest thereon, available for the funding of the initial Business Combination, and (z) the volume weighted average trading price of the Class A common stock during the 10 trading day period starting on the trading day after the day on which the Company consummates its initial Business Combination (such price, the “Market Value”) is below $9.20 per share, the exercise price of the warrants will be adjusted (to the nearest cent) to be equal to 115% of the Market Value, and the $18.00 per share redemption trigger price described below will be adjusted (to the nearest cent) to be equal to 180% of the Market Value.</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Private Placement Warrants are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for cash (except as described herein with respect to the Private Placement Warrants):</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if, and only if, the last reported sale price of Class A common stock equals or exceeds $18.00 per share (as adjusted for stock splits, stock dividends, reorganizations, recapitalizations and the like and for certain issuances of Class A common stock and equity-linked securities as described above) for any 20 trading days within a 30-trading day period ending on the third trading day prior to the date on which the Company sends the notice of redemption to the warrant holders.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not redeem the warrants unless a registration statement under the Securities Act covering the issuance of the shares of Class A common stock issuable upon exercise of the warrants is then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the Company, it may exercise its redemption right even if it is unable to register or qualify the underlying securities for sale under all applicable state securities laws.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calls the warrants for redemption as described above, the management will have the option to require all holders that wish to exercise warrants to do so on a “cashless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Redemption of warrants for when the price per share of Class A common stock equals or exceeds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Commencing ninety days after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events that have occurred after the balance sheet date through the date on which the financial statement was issued. Based upon this review, other than described in the financial statement, the Company did not identify any other subsequent events that would have required adjustment or disclosure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1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As of the date of the Annual Report on Form 10-K for the year ended December 31, 2020 (the "Report"), of 890 5th Avenue Partners, Inc., a Delaware corporation ("we," "us," "our" or "the company"), of which this exhibit forms a part, the company had the following three classes of securities registered under Section 12 of the Securities Exchange Act of 1934, as amended (the "Exchange Act"): (i) its units, consisting of one share of Class A common stock (as defined below) and one-third of one redeemable warrant (as defined below), with each whole warrant entitling the holder thereof to purchase one share of Class A common stock (the "units"), (ii) its Class A common stock, $0.0001 par value per share ("Class A common stock"), and (iii) its public warrants, with each whole warrant exercisable for one share of Class A common stock for $11.50 per share (the "warrants"). Defined terms used herein but not otherwise defined shall have the meaning ascribed to such terms in the Report.</w:t>
      </w:r>
    </w:p>
    <w:p>
      <w:pPr>
        <w:spacing w:after="0" w:line="177"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color w:val="auto"/>
        </w:rPr>
        <w:t>Pursuant to our amended and restated certificate of incorporation (our “Charter”), our authorized capital stock consists of 500,000,000 shares of Class A common stock, 25,000,000 shares of Class F common stock, $0.0001 par value per share (“Class F common stock”), and 5,000,000 shares of undesignated preferred stock, $0.0001 par value per share. The following description summarizes the material terms of our capital stock and does not purport to be complete. It is subject to, and qualified in its entirety by reference to, the Charter, our bylaws and our warrant agreement, each of which is incorporated by reference as an exhibit to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right="120" w:firstLine="360"/>
        <w:spacing w:after="0" w:line="286" w:lineRule="auto"/>
        <w:rPr>
          <w:sz w:val="20"/>
          <w:szCs w:val="20"/>
          <w:color w:val="auto"/>
        </w:rPr>
      </w:pPr>
      <w:r>
        <w:rPr>
          <w:rFonts w:ascii="Arial" w:cs="Arial" w:eastAsia="Arial" w:hAnsi="Arial"/>
          <w:sz w:val="17"/>
          <w:szCs w:val="17"/>
          <w:color w:val="auto"/>
        </w:rPr>
        <w:t>Each unit consists of one share of Class A common stock and one-third of one warrant. Each warrant entitles the holder thereof to purchase one share of Class A common stock at a price of $11.50 per share, subject to adjustment as described in the warrant agreement. Pursuant to the warrant agreement, a warrant holder may exercise its warrants only for a whole number of shares of Class A common stock.</w:t>
      </w:r>
    </w:p>
    <w:p>
      <w:pPr>
        <w:spacing w:after="0" w:line="165"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The Class A common stock and warrants constituting the units commenced separate trading on March 5, 2021. Holders have the option to continue to hold units or separate their units into the component securities. Holders need to have their brokers contact Continental Stock Transfer &amp; Trust Company, our transfer agent, in order to separate the units into shares of Class A common stock and warrants if the holders wish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20" w:firstLine="360"/>
        <w:spacing w:after="0" w:line="263" w:lineRule="auto"/>
        <w:rPr>
          <w:sz w:val="20"/>
          <w:szCs w:val="20"/>
          <w:color w:val="auto"/>
        </w:rPr>
      </w:pPr>
      <w:r>
        <w:rPr>
          <w:rFonts w:ascii="Arial" w:cs="Arial" w:eastAsia="Arial" w:hAnsi="Arial"/>
          <w:sz w:val="18"/>
          <w:szCs w:val="18"/>
          <w:color w:val="auto"/>
        </w:rPr>
        <w:t>Holders of the Class A common stock and holders of the Class F common stock of record are entitled to one vote for each share held on all matters to be voted on by stockholders, including any vote in connection with our initial business combination, and vote together as a single class, except as required by law.</w:t>
      </w:r>
    </w:p>
    <w:p>
      <w:pPr>
        <w:spacing w:after="0" w:line="184"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Unless specified in our Charter or bylaws, or as required by applicable provisions of the General Corporation Law of the State of Delaware (the "DGCL") or applicable stock exchange rules, the affirmative vote of a majority of our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firstLine="360"/>
        <w:spacing w:after="0" w:line="259" w:lineRule="auto"/>
        <w:rPr>
          <w:sz w:val="20"/>
          <w:szCs w:val="20"/>
          <w:color w:val="auto"/>
        </w:rPr>
      </w:pPr>
      <w:r>
        <w:rPr>
          <w:rFonts w:ascii="Arial" w:cs="Arial" w:eastAsia="Arial" w:hAnsi="Arial"/>
          <w:sz w:val="18"/>
          <w:szCs w:val="18"/>
          <w:color w:val="auto"/>
        </w:rPr>
        <w:t>Because our Charter authorizes the issuance of up to 500,000,000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18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franchise and income taxes, divided by the number of then outstanding public shares, subject to the limitations described in the Report. The per share amount we will distribute to investors who properly redeem their shares will not be reduced by the marketing fee disclosed in the Report that we will pay to the underwriters (the "Marketing Fee"). Our Sponsor and other holders of our founder shares, including PA 2 Co-Investment and Craig-Hallum, and certain members of our board of directors (collectively, our “initial stockholders”), have entered into a letter agreement with us, pursuant to which they have agreed to waive their redemption rights with respect to their founder shares, private placement shares and any public shares held by them in connection with the completion of our initial business combination.</w:t>
      </w:r>
    </w:p>
    <w:p>
      <w:pPr>
        <w:spacing w:after="0" w:line="1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we seek stockholder approval of our initial business combination,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87" w:lineRule="exact"/>
        <w:rPr>
          <w:sz w:val="20"/>
          <w:szCs w:val="20"/>
          <w:color w:val="auto"/>
        </w:rPr>
      </w:pPr>
    </w:p>
    <w:p>
      <w:pPr>
        <w:ind w:right="220" w:firstLine="360"/>
        <w:spacing w:after="0" w:line="275"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Charter provides that a public stockholder, together with any affiliate of such stockholder or any other person with whom such stockholder is acting in concert or as a “group” (as defined under Section 13 of the Exchange Act), will be restricted from redeeming shares in excess of 15% of the shares comprising units sold in our initial public offering (“Excess Shares”). However, we would not be restricting our stockholders’ ability to vote all of their shares (including Excess Shares) for or against our initial business combination.</w:t>
      </w:r>
    </w:p>
    <w:p>
      <w:pPr>
        <w:spacing w:after="0" w:line="17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Private Placement Shares</w:t>
      </w:r>
    </w:p>
    <w:p>
      <w:pPr>
        <w:spacing w:after="0" w:line="229"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The “private placement shares” are shares of Class A common stock contained in units sold in a private placement concurrent with our initial public offering that are not transferable, assignable or salable until 30 days after the completion of our initial business combination (except, among certain limited exceptions, to our officers and directors and other persons or entities affiliated with our founders). The private placement shares are otherwise identical to the shares of Class A common stock included in the units sold in our initial public offering, except that: (1) the private placement shares are subject to certain transfer restrictions, as described in more detail below; (2) our initial stockholders have entered into a letter agreement with us, pursuant to which they have agreed: to (a) waive their redemption rights with respect to their founder shares, private placement shares and any public shares held by them in connection with the completion of our initial business combination; (b) waive their redemption rights with respect to their founder shares, private placement shares and any public shares held by them in connection with a stockholder vote to approve an amendment to our Charter to modify the substance or timing of our obligation to redeem 100% of our public shares if we have not consummated our initial business combination within 24 months from the closing of our initial public offering; and (c) waive their rights to liquidating distributions from the trust account with respect to any founder shares and private placement shares they hold if we fail to complete our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the prescribed time frame); and (3) the founder shares and private placement securities are entitled to registration rights. If we submit our initial business combination to our public stockholders for a vote, our initial stockholders have agreed (and their permitted transferees will agree) (and another investor (our “anchor investor”) has agreed, pursuant to a written agreement), pursuant to the terms of a letter agreement entered into with us, to vote their founder shares, private placement shares and any public shares held by them purchased during or after our initial public offering in favor of our initial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(Class F common stock)</w:t>
      </w:r>
    </w:p>
    <w:p>
      <w:pPr>
        <w:spacing w:after="0" w:line="229" w:lineRule="exact"/>
        <w:rPr>
          <w:sz w:val="20"/>
          <w:szCs w:val="20"/>
          <w:color w:val="auto"/>
        </w:rPr>
      </w:pPr>
    </w:p>
    <w:p>
      <w:pPr>
        <w:ind w:right="180" w:firstLine="360"/>
        <w:spacing w:after="0" w:line="286" w:lineRule="auto"/>
        <w:rPr>
          <w:sz w:val="20"/>
          <w:szCs w:val="20"/>
          <w:color w:val="auto"/>
        </w:rPr>
      </w:pPr>
      <w:r>
        <w:rPr>
          <w:rFonts w:ascii="Arial" w:cs="Arial" w:eastAsia="Arial" w:hAnsi="Arial"/>
          <w:sz w:val="16"/>
          <w:szCs w:val="16"/>
          <w:color w:val="auto"/>
        </w:rPr>
        <w:t>The “founder shares” are sharers of Class F common stock that are identical to the shares of Class A common stock included in the units sold in our initial public offering, except that: (1) the founder shares are subject to certain transfer restrictions, as described in more detail below; (2) our initial stockholders have entered into a letter agreement with us, pursuant to which they have agreed: to (a) waive their redemption rights with respect to their founder shares, private placement shares and any public shares held by them in connection with the completion of our initial business combination;</w:t>
      </w:r>
    </w:p>
    <w:p>
      <w:pPr>
        <w:spacing w:after="0" w:line="1" w:lineRule="exact"/>
        <w:rPr>
          <w:sz w:val="20"/>
          <w:szCs w:val="20"/>
          <w:color w:val="auto"/>
        </w:rPr>
      </w:pPr>
    </w:p>
    <w:p>
      <w:pPr>
        <w:ind w:right="140" w:firstLine="8"/>
        <w:spacing w:after="0" w:line="267"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waive their redemption rights with respect to their founder shares, private placement shares and any public shares held by them in connection with a stockholder vote to approve an amendment to our Charter to modify the substance or timing of our obligation to redeem 100% of our public shares if we have not consummated our initial business combination within 24 months from the closing of our initial public offering; and (c) waive their rights to liquidating distributions from the trust account with respect to any founder shares and private placement shares they hold if we fail to complete our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the prescribed time frame); (3) the founder shares are automatically convertible into shares of our Class A common stock at the time of our initial business combination on a one-for-one basis, subject to adjustment pursuant to certain anti-dilution rights, as described in more detail below; and (4) the founder shares and private placement shares are entitled to registration rights. If we submit our initial business combination to our public stockholders for a vote, our initial stockholders have agreed (and their permitted transferees will agree) (and our anchor investor has agreed, pursuant to a written agreement), pursuant to the terms of a letter agreement entered into with us, to vote their founder shares, private placement shares and any public shares held by them purchased during or after our initial public offering in favor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5" w:name="page46"/>
    <w:bookmarkEnd w:id="45"/>
    <w:p>
      <w:pPr>
        <w:ind w:firstLine="360"/>
        <w:spacing w:after="0" w:line="287" w:lineRule="auto"/>
        <w:rPr>
          <w:sz w:val="20"/>
          <w:szCs w:val="20"/>
          <w:color w:val="auto"/>
        </w:rPr>
      </w:pPr>
      <w:r>
        <w:rPr>
          <w:rFonts w:ascii="Arial" w:cs="Arial" w:eastAsia="Arial" w:hAnsi="Arial"/>
          <w:sz w:val="16"/>
          <w:szCs w:val="16"/>
          <w:color w:val="auto"/>
        </w:rPr>
        <w:t>The shares of Class F common stock will automatically convert into shares of Class A common stock at the time of our initial business combination, or earlier at the option of the holder, on a one-for-one basis, subject to increase in respect of the issuance of certain securities, as provided herein. In the case that additional shares of Class A common stock, or equity-linked securities (as described herein), are issued or deemed issued in excess of the amounts sold in our initial public offering and related to the closing of our initial business combination, the ratio at which shares of Class F common stock shall convert into shares of Class A common stock will be adjusted (unless the holders of a majority of the outstanding shares of Class F common stock agree to waive such adjustment with respect to any such issuance or deemed issuance) so that the number of shares of Class A common stock issuable upon conversion of all shares of Class F common stock will equal, in the aggregate, 20% of the aggregate number of all shares of common stock outstanding upon the completion of our initial public offering, plus the aggregate number of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The term “equity-linked securities” refers to any debt or equity securities that are convertible, exercisable or exchangeable for our Class A common stock issued in a financing transaction in connection with our initial business combination, including but not limited to a private placement of equity or debt.</w:t>
      </w:r>
    </w:p>
    <w:p>
      <w:pPr>
        <w:spacing w:after="0" w:line="168"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founders, each of whom will be subject to the same transfer restrictions) until the earlier of (A) one year after the completion of our initial business combination or (B) subsequent to our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The founder shares held by PA 2 Co-Investment and Craig-Hallum and their respective affiliates are deemed underwriters’ compensation by FINRA pursuant to FINRA Rule 5110 and are subject to a 180-day lock-up from the commencement of sales of our initial public offering in accordance with FINRA Rule 5110(e)(1).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Charter authorizes 5,000,000 shares of preferred stock and provides that shares of preferred stock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Stockholders’ Warrants</w:t>
      </w:r>
    </w:p>
    <w:p>
      <w:pPr>
        <w:spacing w:after="0" w:line="229"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$11.50 per whole share, subject to adjustment as discussed below, at any time commencing on the later of 12 months from the closing of our initial public offering or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have been or will be issued upon separation of the units and only whole warrants will trade. Accordingly, unless you hold at least three units, you will not be able to receive or trade a whole warrant. The warrants will expire five years after the completion of our initial business combination, at 5:00 p.m., New York City time, or earlier upon redemption or liquidation; provided, however, that the private placement warrants held by PA 2 Co-Investment and Craig-Hallum and their respective affiliates will not be exercisable more than five years from the commencement of sales of our initial public offering in accordance with FINRA Rule 5110(g)(8).</w:t>
      </w:r>
    </w:p>
    <w:p>
      <w:pPr>
        <w:spacing w:after="0" w:line="196"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are not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are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best efforts to file with the SEC a registration statement registering the issuance, under the Securities Act, of the shares of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best efforts to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right="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when the price per share of Class A common stock equals or exceeds $18.00. </w:t>
      </w:r>
      <w:r>
        <w:rPr>
          <w:rFonts w:ascii="Arial" w:cs="Arial" w:eastAsia="Arial" w:hAnsi="Arial"/>
          <w:sz w:val="18"/>
          <w:szCs w:val="18"/>
          <w:color w:val="auto"/>
        </w:rPr>
        <w:t>Once the warrants become exercisable,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call the warrants for redemption:</w:t>
      </w:r>
    </w:p>
    <w:p>
      <w:pPr>
        <w:spacing w:after="0" w:line="170" w:lineRule="exact"/>
        <w:rPr>
          <w:sz w:val="20"/>
          <w:szCs w:val="20"/>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660" w:right="280" w:hanging="4"/>
        <w:spacing w:after="0" w:line="259" w:lineRule="auto"/>
        <w:tabs>
          <w:tab w:leader="none" w:pos="7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equals or exceeds $18.00 per share (as adjusted for stock splits, stock dividends, reorganizations, recapitalizations and the like and for certain issuances of Class A common stock and equity-linked securities as described below) for any 20 trading days within a 30-trading day period ending on the third trading day prior to the date we send the notice of redemption to the warrant holders.</w:t>
      </w:r>
    </w:p>
    <w:p>
      <w:pPr>
        <w:spacing w:after="0" w:line="187" w:lineRule="exact"/>
        <w:rPr>
          <w:sz w:val="20"/>
          <w:szCs w:val="20"/>
          <w:color w:val="auto"/>
        </w:rPr>
      </w:pPr>
    </w:p>
    <w:p>
      <w:pPr>
        <w:ind w:right="100" w:firstLine="360"/>
        <w:spacing w:after="0" w:line="258"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176"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b w:val="1"/>
          <w:bCs w:val="1"/>
          <w:i w:val="1"/>
          <w:iCs w:val="1"/>
          <w:color w:val="auto"/>
        </w:rPr>
        <w:t xml:space="preserve">Redemption of warrants when the price per share of Class A common stock equals or exceeds $10.00. </w:t>
      </w:r>
      <w:r>
        <w:rPr>
          <w:rFonts w:ascii="Arial" w:cs="Arial" w:eastAsia="Arial" w:hAnsi="Arial"/>
          <w:sz w:val="16"/>
          <w:szCs w:val="16"/>
          <w:color w:val="auto"/>
        </w:rPr>
        <w:t>Commencing ninety days after the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 exercisable, we may redeem the outstanding warrants (except as described herein with respect to the private placement warrants):</w:t>
      </w:r>
    </w:p>
    <w:p>
      <w:pPr>
        <w:spacing w:after="0" w:line="124" w:lineRule="exact"/>
        <w:rPr>
          <w:sz w:val="20"/>
          <w:szCs w:val="20"/>
          <w:color w:val="auto"/>
        </w:rPr>
      </w:pPr>
    </w:p>
    <w:p>
      <w:pPr>
        <w:ind w:left="760" w:hanging="10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right="20" w:hanging="4"/>
        <w:spacing w:after="0" w:line="263" w:lineRule="auto"/>
        <w:tabs>
          <w:tab w:leader="none" w:pos="7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price of $0.10 per warrant provided that holders will be able to exercise their warrants prior to redemption and receive that number of shares of Class A common stock determined by reference to the table below, based on the redemption date and the “fair market value” of our Class A common stock (as defined below) except as otherwise described below;</w:t>
      </w:r>
    </w:p>
    <w:p>
      <w:pPr>
        <w:spacing w:after="0" w:line="183" w:lineRule="exact"/>
        <w:rPr>
          <w:rFonts w:ascii="Arial" w:cs="Arial" w:eastAsia="Arial" w:hAnsi="Arial"/>
          <w:sz w:val="18"/>
          <w:szCs w:val="18"/>
          <w:color w:val="auto"/>
        </w:rPr>
      </w:pPr>
    </w:p>
    <w:p>
      <w:pPr>
        <w:ind w:left="760" w:hanging="10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jc w:val="both"/>
        <w:ind w:left="660" w:right="260" w:hanging="4"/>
        <w:spacing w:after="0" w:line="263" w:lineRule="auto"/>
        <w:tabs>
          <w:tab w:leader="none" w:pos="7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only if, the last reported sale price of our Class A common stock equals or exceeds $10.00 per share (as adjusted for stock splits, stock dividends, reorganizations, recapitalizations and the like) on the trading day prior to the date on which we send the notice of redemption to the warrant holders; and</w:t>
      </w:r>
    </w:p>
    <w:p>
      <w:pPr>
        <w:spacing w:after="0" w:line="183" w:lineRule="exact"/>
        <w:rPr>
          <w:rFonts w:ascii="Arial" w:cs="Arial" w:eastAsia="Arial" w:hAnsi="Arial"/>
          <w:sz w:val="18"/>
          <w:szCs w:val="18"/>
          <w:color w:val="auto"/>
        </w:rPr>
      </w:pPr>
    </w:p>
    <w:p>
      <w:pPr>
        <w:ind w:left="660" w:right="40" w:hanging="4"/>
        <w:spacing w:after="0" w:line="342" w:lineRule="auto"/>
        <w:tabs>
          <w:tab w:leader="none" w:pos="7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8" w:name="page49"/>
    <w:bookmarkEnd w:id="48"/>
    <w:p>
      <w:pPr>
        <w:ind w:right="160" w:firstLine="360"/>
        <w:spacing w:after="0" w:line="255" w:lineRule="auto"/>
        <w:rPr>
          <w:sz w:val="20"/>
          <w:szCs w:val="20"/>
          <w:color w:val="auto"/>
        </w:rPr>
      </w:pPr>
      <w:r>
        <w:rPr>
          <w:rFonts w:ascii="Arial" w:cs="Arial" w:eastAsia="Arial" w:hAnsi="Arial"/>
          <w:sz w:val="18"/>
          <w:szCs w:val="18"/>
          <w:color w:val="auto"/>
        </w:rPr>
        <w:t>The numbers in the table below represent the number of shares of Class A common stock that a warrant holder will receive upon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w w:val="90"/>
              </w:rPr>
              <w:t>Redemption Date (period to</w:t>
            </w: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w w:val="92"/>
              </w:rPr>
              <w:t>Fair Market Value of Class A Common Stock</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≤$10.00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≥$18.00</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expiration of warrants)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$11.00</w:t>
            </w:r>
          </w:p>
        </w:tc>
        <w:tc>
          <w:tcPr>
            <w:tcW w:w="2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$12.00</w:t>
            </w:r>
          </w:p>
        </w:tc>
        <w:tc>
          <w:tcPr>
            <w:tcW w:w="2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$13.00</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$14.00</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$16.00</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$17.00</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57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0.324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54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0.252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0.291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0.307</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0.322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0.347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0.357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51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0.304</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48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0.241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0.301</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0.332</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0.344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45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42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0.228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0.252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0.274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0.294</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0.328</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0.342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39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0.221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36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0.213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0.239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0.263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0.285</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0.323</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0.339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33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0.205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30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0.196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0.250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0.274</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0.316</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0.335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27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0.185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0.268</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24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0.173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0.233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0.260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0.285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0.308</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0.329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21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0.161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0.252</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18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0.146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0.179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0.211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0.242</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0.271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0.298</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0.322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15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0.130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12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0.111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0.146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0.181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0.216</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0.282</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0.312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9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0.090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0.199</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0.237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6 months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0.065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0.099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0.137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0.178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0.219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0.259</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0.296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 months</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0.034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0.197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0 months</w:t>
            </w:r>
          </w:p>
        </w:tc>
        <w:tc>
          <w:tcPr>
            <w:tcW w:w="1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0.042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0.115</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0.179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0.233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0.281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661"/>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9" w:name="page50"/>
    <w:bookmarkEnd w:id="49"/>
    <w:p>
      <w:pPr>
        <w:ind w:right="40" w:firstLine="36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warrants is $11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71"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Any public warrants held by our officers or directors will be subject to this redemption feature, except that such officers and directors shall only receive “fair market value” for such public warrants if they exercise their public warrants in connection with such redemption (“fair market value” for such public warrants held by our officers or directors being defined as the last reported sale price of the public warrants on such redemption date).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stated above, we can redeem the warrants when the Class A common stock is trading at a price starting at $10.00, which is below the exercise price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$11.50, because it will provide certainty with respect to our capital structure and cash position while providing warrant holders with the opportunity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their warrants on a cashless basis for the applicable number of shares of Class A common stock. If we choose to redeem the warrants when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is trading at a price below the exercise price of the warrants, this could result in the warrant holders receiving fewer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than they would have received if they had chosen to wait to exercise their warrants for shares of Class A common stock if and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were trading at a price higher than the exercise price of $11.50 per share.</w:t>
      </w:r>
    </w:p>
    <w:p>
      <w:pPr>
        <w:spacing w:after="0" w:line="21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w:t>
      </w:r>
    </w:p>
    <w:p>
      <w:pPr>
        <w:spacing w:after="0" w:line="171" w:lineRule="exact"/>
        <w:rPr>
          <w:sz w:val="20"/>
          <w:szCs w:val="20"/>
          <w:color w:val="auto"/>
        </w:rPr>
      </w:pPr>
    </w:p>
    <w:p>
      <w:pPr>
        <w:ind w:right="20" w:firstLine="360"/>
        <w:spacing w:after="0" w:line="267"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warrants for redemption as described under “— Redemption of warrants when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per share of Class A common stock equals or exceeds $18.00,”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lesser of (A) quotient obtained by dividing (x) the product of the number of shares of Class A common stock underlying the warrants, multiplied by the excess of the “fair market value” (defined below) over the exercise price of the warrants by (y) the fair market value and (B) 0.361.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initial stockholders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160" w:firstLine="36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8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16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Charter to modify the substance or timing of our obligation to redeem 100% of our Class A common stock if we do not complete our initial business combination within 24 months from the closing of our initial public offering,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1" w:name="page52"/>
    <w:bookmarkEnd w:id="51"/>
    <w:p>
      <w:pPr>
        <w:ind w:right="20" w:firstLine="360"/>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7"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7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or private placement shares held by our initial stockholders or such affiliates, as applicable, prior to such issuance), (y) the aggregate gross proceeds from such issuances represent more than 60% of the total equity proceeds, and interest thereon, available for the funding of our initial business combination, and (z) the volume weighted average trading price of our Class A common stock during the 10 trading day period starting on the trading day after the day on which we consummate our initial business combination (such price, the “Market Value”) is below $9.20 per share, the exercise price of the warrants will be adjusted (to the nearest cent) to be equal to 115% of the Market Value, and the $18.00 per share redemption trigger price described above will be adjusted (to the nearest cent) to be equal to 180% of the Market Value.</w:t>
      </w:r>
    </w:p>
    <w:p>
      <w:pPr>
        <w:spacing w:after="0" w:line="166"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Charter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right="140" w:firstLine="360"/>
        <w:spacing w:after="0" w:line="275" w:lineRule="auto"/>
        <w:rPr>
          <w:sz w:val="20"/>
          <w:szCs w:val="20"/>
          <w:color w:val="auto"/>
        </w:rPr>
      </w:pPr>
      <w:r>
        <w:rPr>
          <w:rFonts w:ascii="Arial" w:cs="Arial" w:eastAsia="Arial" w:hAnsi="Arial"/>
          <w:sz w:val="17"/>
          <w:szCs w:val="17"/>
          <w:color w:val="auto"/>
        </w:rPr>
        <w:t>The warrants were issued in registered form under a warrant agreement between Continental Stock Transfer &amp; Trust Company, as warrant agent, and us. You should review a copy of the warrant agreement, which is filed as an exhibit to the Report,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spacing w:after="0" w:line="176"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fractional warrants have been or will be issued upon separation of the units and only whole warrants will trade.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22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are not transferable, assignable or salable until 30 days after the completion of our initial business combination (except, among certain limited exceptions, to our officers and directors and other persons or entities affiliated with our founders) and they will not be redeemable by us so long as they are held by our initial stockholders or their permitted transferees. Our initial stockholders, or their permitted transferees, have the option to exercise the private placement warrants on a cashless basis. Otherwise, the private placement warrants have terms and provisions that are identical to those of the warrants sold as part of the units in our initial public offering. If the private placement warrants are held by holders other than our initial stockholders or their permitted transferees, the private placement warrants will be redeemable by us and exercisable by the holders on the same basis as the warrants included in the units sold in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right="60" w:firstLine="360"/>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w:t>
      </w:r>
    </w:p>
    <w:p>
      <w:pPr>
        <w:spacing w:after="0" w:line="2" w:lineRule="exact"/>
        <w:rPr>
          <w:sz w:val="20"/>
          <w:szCs w:val="20"/>
          <w:color w:val="auto"/>
        </w:rPr>
      </w:pPr>
    </w:p>
    <w:p>
      <w:pPr>
        <w:ind w:right="500" w:firstLine="8"/>
        <w:spacing w:after="0" w:line="26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last reported sale price of the Class A common stock for the 10 trading days ending on the third trading day prior to the date on which the notice of redemption is sent to the holders of warrants.</w:t>
      </w:r>
    </w:p>
    <w:p>
      <w:pPr>
        <w:spacing w:after="0" w:line="185" w:lineRule="exact"/>
        <w:rPr>
          <w:sz w:val="20"/>
          <w:szCs w:val="20"/>
          <w:color w:val="auto"/>
        </w:rPr>
      </w:pPr>
    </w:p>
    <w:p>
      <w:pPr>
        <w:ind w:right="300" w:firstLine="360"/>
        <w:spacing w:after="0" w:line="254"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management team or their affiliates may, but are not obligated to, loan us funds as may be required. If we complete our initial business combination, we would repay such loaned amounts. Up to $1,500,000 of such loans may be convertible at the time of the business combination and at the option of the lender at a price of $10.00 per unit into units consisting of one share of Class A common stock and one-third of one warrant to purchase one share of Class A common stock at a price of $11.50 per share. The units would be identical to the private placement units issued to our founders. PA 2 Co-Investment and Craig-Hallum, and their respective affiliates, will not provide any such working capital loans or receive any such units into which such loans are convertible.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Charter contains certain requirements and restrictions relating to this offering that will apply to us until the completion of our initial business combination. These provisions cannot be amended without the approval of the holders of at least 65% of our common stock. Our initial stockholders who collectively beneficially own approximately 20% of our common stock, may participate in any vote to amend our Charter and have the discretion to vote in any manner they choose. Specifically, our Charter provides, among other things, that:</w:t>
      </w:r>
    </w:p>
    <w:p>
      <w:pPr>
        <w:spacing w:after="0" w:line="187" w:lineRule="exact"/>
        <w:rPr>
          <w:sz w:val="20"/>
          <w:szCs w:val="20"/>
          <w:color w:val="auto"/>
        </w:rPr>
      </w:pPr>
    </w:p>
    <w:p>
      <w:pPr>
        <w:ind w:left="660" w:hanging="4"/>
        <w:spacing w:after="0" w:line="270" w:lineRule="auto"/>
        <w:tabs>
          <w:tab w:leader="none" w:pos="76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our initial public offering,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660" w:right="100" w:hanging="4"/>
        <w:spacing w:after="0" w:line="277" w:lineRule="auto"/>
        <w:tabs>
          <w:tab w:leader="none" w:pos="7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170" w:lineRule="exact"/>
        <w:rPr>
          <w:rFonts w:ascii="Arial" w:cs="Arial" w:eastAsia="Arial" w:hAnsi="Arial"/>
          <w:sz w:val="18"/>
          <w:szCs w:val="18"/>
          <w:color w:val="auto"/>
        </w:rPr>
      </w:pPr>
    </w:p>
    <w:p>
      <w:pPr>
        <w:ind w:left="660" w:right="260" w:hanging="4"/>
        <w:spacing w:after="0" w:line="279" w:lineRule="auto"/>
        <w:tabs>
          <w:tab w:leader="none" w:pos="76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our founders, our directors or our officers, we are not prohibited from doing so. In the event we enter into such a transaction,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hanging="4"/>
        <w:spacing w:after="0" w:line="257" w:lineRule="auto"/>
        <w:tabs>
          <w:tab w:leader="none" w:pos="7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87" w:lineRule="exact"/>
        <w:rPr>
          <w:rFonts w:ascii="Arial" w:cs="Arial" w:eastAsia="Arial" w:hAnsi="Arial"/>
          <w:sz w:val="18"/>
          <w:szCs w:val="18"/>
          <w:color w:val="auto"/>
        </w:rPr>
      </w:pPr>
    </w:p>
    <w:p>
      <w:pPr>
        <w:ind w:left="660" w:right="80" w:hanging="4"/>
        <w:spacing w:after="0" w:line="263" w:lineRule="auto"/>
        <w:tabs>
          <w:tab w:leader="none" w:pos="7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initial business combination must occur with one or more target businesses that together have an aggregate fair market value of at least 80% of the value of the trust account (excluding any Marketing Fee and taxes payable on the income earned on the trust account) at the time of the agreement to enter into the initial business combination;</w:t>
      </w:r>
    </w:p>
    <w:p>
      <w:pPr>
        <w:spacing w:after="0" w:line="183" w:lineRule="exact"/>
        <w:rPr>
          <w:rFonts w:ascii="Arial" w:cs="Arial" w:eastAsia="Arial" w:hAnsi="Arial"/>
          <w:sz w:val="18"/>
          <w:szCs w:val="18"/>
          <w:color w:val="auto"/>
        </w:rPr>
      </w:pPr>
    </w:p>
    <w:p>
      <w:pPr>
        <w:ind w:left="660" w:right="200" w:hanging="4"/>
        <w:spacing w:after="0" w:line="296" w:lineRule="auto"/>
        <w:tabs>
          <w:tab w:leader="none" w:pos="7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our stockholders approve an amendment to our Charter to modify the substance or timing of our obligation to redeem 100% of our public shares if we do not complete our initial business combination within 24 months from the closing of this offering, we will provide our public stockholders with the opportunity to redeem all or a portion of their shares of common stock upon such approval at a per 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and</w:t>
      </w:r>
    </w:p>
    <w:p>
      <w:pPr>
        <w:spacing w:after="0" w:line="161" w:lineRule="exact"/>
        <w:rPr>
          <w:rFonts w:ascii="Arial" w:cs="Arial" w:eastAsia="Arial" w:hAnsi="Arial"/>
          <w:sz w:val="16"/>
          <w:szCs w:val="16"/>
          <w:color w:val="auto"/>
        </w:rPr>
      </w:pPr>
    </w:p>
    <w:p>
      <w:pPr>
        <w:ind w:left="760" w:hanging="104"/>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In addition, our Charter provides that under no circumstances will we redeem our public shares in an amount that would cause our net tangible assets to be less than $5,000,001.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CERTIFICATE OF INCORPORATION AND BYLAWS</w:t>
      </w:r>
    </w:p>
    <w:p>
      <w:pPr>
        <w:spacing w:after="0" w:line="22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5" w:name="page56"/>
    <w:bookmarkEnd w:id="5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599 Lexington Avenue,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890 5th Avenue Partners,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Rye, New York 10580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Adam Rothstein, Executive Chairman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ind w:left="2420"/>
        <w:spacing w:after="0"/>
        <w:rPr>
          <w:sz w:val="20"/>
          <w:szCs w:val="20"/>
          <w:color w:val="auto"/>
        </w:rPr>
      </w:pPr>
      <w:r>
        <w:rPr>
          <w:rFonts w:ascii="Arial" w:cs="Arial" w:eastAsia="Arial" w:hAnsi="Arial"/>
          <w:sz w:val="16"/>
          <w:szCs w:val="16"/>
          <w:b w:val="1"/>
          <w:bCs w:val="1"/>
          <w:color w:val="auto"/>
        </w:rPr>
        <w:t>Exhibit 10.11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CRAIG-HALLUM CAPITAL GROUP LLC</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222 South 9th Street, Suite 350</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Minneapolis, Minnesota 55402</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11, 2021</w:t>
      </w:r>
    </w:p>
    <w:p>
      <w:pPr>
        <w:spacing w:after="0" w:line="1712" w:lineRule="exact"/>
        <w:rPr>
          <w:sz w:val="20"/>
          <w:szCs w:val="20"/>
          <w:color w:val="auto"/>
        </w:rPr>
      </w:pPr>
    </w:p>
    <w:p>
      <w:pPr>
        <w:sectPr>
          <w:pgSz w:w="11900" w:h="16838" w:orient="portrait"/>
          <w:cols w:equalWidth="0" w:num="2">
            <w:col w:w="7100" w:space="720"/>
            <w:col w:w="3420"/>
          </w:cols>
          <w:pgMar w:left="320" w:top="364" w:right="339" w:bottom="1440" w:gutter="0" w:footer="0" w:header="0"/>
        </w:sectPr>
      </w:pPr>
    </w:p>
    <w:p>
      <w:pPr>
        <w:spacing w:after="0" w:line="2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This is to confirm our agreement whereby 890 5th Avenue Partners, Inc.,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has requested Cowen and Company, LLC and Craig-Hallum Capital Group LLC (each, an “</w:t>
      </w:r>
      <w:r>
        <w:rPr>
          <w:rFonts w:ascii="Arial" w:cs="Arial" w:eastAsia="Arial" w:hAnsi="Arial"/>
          <w:sz w:val="18"/>
          <w:szCs w:val="18"/>
          <w:b w:val="1"/>
          <w:bCs w:val="1"/>
          <w:color w:val="auto"/>
        </w:rPr>
        <w:t>Advisor</w:t>
      </w:r>
      <w:r>
        <w:rPr>
          <w:rFonts w:ascii="Arial" w:cs="Arial" w:eastAsia="Arial" w:hAnsi="Arial"/>
          <w:sz w:val="18"/>
          <w:szCs w:val="18"/>
          <w:color w:val="auto"/>
        </w:rPr>
        <w:t>” and collectively, the “</w:t>
      </w:r>
      <w:r>
        <w:rPr>
          <w:rFonts w:ascii="Arial" w:cs="Arial" w:eastAsia="Arial" w:hAnsi="Arial"/>
          <w:sz w:val="18"/>
          <w:szCs w:val="18"/>
          <w:b w:val="1"/>
          <w:bCs w:val="1"/>
          <w:color w:val="auto"/>
        </w:rPr>
        <w:t>Advisors</w:t>
      </w:r>
      <w:r>
        <w:rPr>
          <w:rFonts w:ascii="Arial" w:cs="Arial" w:eastAsia="Arial" w:hAnsi="Arial"/>
          <w:sz w:val="18"/>
          <w:szCs w:val="18"/>
          <w:color w:val="auto"/>
        </w:rPr>
        <w:t>”) to assist it in connection with the Company engaging in a merger, share exchange, asset acquisition, stock purchase, recapitalization, reorganization or similar business combination (in each case, a “</w:t>
      </w:r>
      <w:r>
        <w:rPr>
          <w:rFonts w:ascii="Arial" w:cs="Arial" w:eastAsia="Arial" w:hAnsi="Arial"/>
          <w:sz w:val="18"/>
          <w:szCs w:val="18"/>
          <w:b w:val="1"/>
          <w:bCs w:val="1"/>
          <w:color w:val="auto"/>
        </w:rPr>
        <w:t>Business Combination</w:t>
      </w:r>
      <w:r>
        <w:rPr>
          <w:rFonts w:ascii="Arial" w:cs="Arial" w:eastAsia="Arial" w:hAnsi="Arial"/>
          <w:sz w:val="18"/>
          <w:szCs w:val="18"/>
          <w:color w:val="auto"/>
        </w:rPr>
        <w:t>”) with one or more businesses (each a “</w:t>
      </w:r>
      <w:r>
        <w:rPr>
          <w:rFonts w:ascii="Arial" w:cs="Arial" w:eastAsia="Arial" w:hAnsi="Arial"/>
          <w:sz w:val="18"/>
          <w:szCs w:val="18"/>
          <w:b w:val="1"/>
          <w:bCs w:val="1"/>
          <w:color w:val="auto"/>
        </w:rPr>
        <w:t>Target</w:t>
      </w:r>
      <w:r>
        <w:rPr>
          <w:rFonts w:ascii="Arial" w:cs="Arial" w:eastAsia="Arial" w:hAnsi="Arial"/>
          <w:sz w:val="18"/>
          <w:szCs w:val="18"/>
          <w:color w:val="auto"/>
        </w:rPr>
        <w:t>”) as described in the Company’s Registration Statement on Form S-1 (File No. 333-251650), as amended, filed with the U.S. Securities and Exchange Commission (“</w:t>
      </w:r>
      <w:r>
        <w:rPr>
          <w:rFonts w:ascii="Arial" w:cs="Arial" w:eastAsia="Arial" w:hAnsi="Arial"/>
          <w:sz w:val="18"/>
          <w:szCs w:val="18"/>
          <w:b w:val="1"/>
          <w:bCs w:val="1"/>
          <w:color w:val="auto"/>
        </w:rPr>
        <w:t>Registration Statement</w:t>
      </w:r>
      <w:r>
        <w:rPr>
          <w:rFonts w:ascii="Arial" w:cs="Arial" w:eastAsia="Arial" w:hAnsi="Arial"/>
          <w:sz w:val="18"/>
          <w:szCs w:val="18"/>
          <w:color w:val="auto"/>
        </w:rPr>
        <w:t>”) in connection with the Company’s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1" w:lineRule="exact"/>
        <w:rPr>
          <w:sz w:val="20"/>
          <w:szCs w:val="20"/>
          <w:color w:val="auto"/>
        </w:rPr>
      </w:pPr>
    </w:p>
    <w:p>
      <w:pPr>
        <w:ind w:left="660" w:right="2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Services and Fees.</w:t>
      </w:r>
      <w:r>
        <w:rPr>
          <w:rFonts w:ascii="Arial" w:cs="Arial" w:eastAsia="Arial" w:hAnsi="Arial"/>
          <w:sz w:val="18"/>
          <w:szCs w:val="18"/>
          <w:color w:val="auto"/>
        </w:rPr>
        <w:t xml:space="preserve"> (a)Each Advisor’s obligations under this Agreement shall be several and not joint, and each Advisor will, from time to time, upon the Company’s request and in consultation with the Company:</w:t>
      </w:r>
    </w:p>
    <w:p>
      <w:pPr>
        <w:spacing w:after="0" w:line="170" w:lineRule="exact"/>
        <w:rPr>
          <w:rFonts w:ascii="Arial" w:cs="Arial" w:eastAsia="Arial" w:hAnsi="Arial"/>
          <w:sz w:val="18"/>
          <w:szCs w:val="18"/>
          <w:color w:val="auto"/>
        </w:rPr>
      </w:pPr>
    </w:p>
    <w:p>
      <w:pPr>
        <w:ind w:left="1960" w:right="80" w:hanging="656"/>
        <w:spacing w:after="0" w:line="263"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Assist the Company in arranging meetings with its stockholders to discuss one or more potential Business Combinations, including making calls to stockholders and providing business updates and marketing feedback, in all cases to the extent legally permissible;</w:t>
      </w:r>
    </w:p>
    <w:p>
      <w:pPr>
        <w:spacing w:after="0" w:line="183"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Introduce the Company to potential investors to purchase the Company’s publicly-traded securities in after-market transactions following the public announcement of the Business Combination;</w:t>
      </w:r>
    </w:p>
    <w:p>
      <w:pPr>
        <w:spacing w:after="0" w:line="170" w:lineRule="exact"/>
        <w:rPr>
          <w:rFonts w:ascii="Arial" w:cs="Arial" w:eastAsia="Arial" w:hAnsi="Arial"/>
          <w:sz w:val="18"/>
          <w:szCs w:val="18"/>
          <w:color w:val="auto"/>
        </w:rPr>
      </w:pPr>
    </w:p>
    <w:p>
      <w:pPr>
        <w:ind w:left="1960" w:right="520" w:hanging="656"/>
        <w:spacing w:after="0" w:line="308"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Provide financial advisory services to assist the Company in its efforts to obtain any stockholder approval for one or more Business Combinations, until such time as the Company has completed an initial Business Combination; and</w:t>
      </w:r>
    </w:p>
    <w:p>
      <w:pPr>
        <w:spacing w:after="0" w:line="146" w:lineRule="exact"/>
        <w:rPr>
          <w:rFonts w:ascii="Arial" w:cs="Arial" w:eastAsia="Arial" w:hAnsi="Arial"/>
          <w:sz w:val="17"/>
          <w:szCs w:val="17"/>
          <w:color w:val="auto"/>
        </w:rPr>
      </w:pPr>
    </w:p>
    <w:p>
      <w:pPr>
        <w:ind w:left="1960" w:right="120" w:hanging="656"/>
        <w:spacing w:after="0" w:line="277"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Assist the Company with any press releases and/or filings related to any Business Combination or related Targets (the activities described in the foregoing clauses (i)-(iv),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Notwithstanding anything to the contrary contained herein, the Services will not include (x) any solicitation of potential investors in connection with the IPO or any Business Combination, (y) any solicitation of proxies in connection with the Business Combination, or (z) any provision of M&amp;A-related advisory services. In the event that the Company requests that an Advisor provide any placement agent and/or M&amp;A-related advisory services, such engagement will be set forth in one or more separate agreements between the Company and such Advisor.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6" w:name="page57"/>
    <w:bookmarkEnd w:id="56"/>
    <w:p>
      <w:pPr>
        <w:ind w:firstLine="656"/>
        <w:spacing w:after="0" w:line="291" w:lineRule="auto"/>
        <w:tabs>
          <w:tab w:leader="none" w:pos="1307"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compensation for the Services, the Company will pay the Advisors a cash fee equal to, in the aggregate, 3.5% of the gross proceeds received by the Company from the sale of its equity securities pursuant to the Registration Statement during the IPO, including any proceeds from the full or partial exercise of the underwriters’ over-allotment option described therein (the “</w:t>
      </w:r>
      <w:r>
        <w:rPr>
          <w:rFonts w:ascii="Arial" w:cs="Arial" w:eastAsia="Arial" w:hAnsi="Arial"/>
          <w:sz w:val="16"/>
          <w:szCs w:val="16"/>
          <w:b w:val="1"/>
          <w:bCs w:val="1"/>
          <w:color w:val="auto"/>
        </w:rPr>
        <w:t>Fee</w:t>
      </w:r>
      <w:r>
        <w:rPr>
          <w:rFonts w:ascii="Arial" w:cs="Arial" w:eastAsia="Arial" w:hAnsi="Arial"/>
          <w:sz w:val="16"/>
          <w:szCs w:val="16"/>
          <w:color w:val="auto"/>
        </w:rPr>
        <w:t>”). Cowen and Company, LLC shall be entitled to 70% of the Fee and Craig-Hallum Capital Group LLC shall be entitled to 30% of the Fee. The Fee is due and payable to the Advisors by wire transfer at the closing of the initial Business Combination (“</w:t>
      </w:r>
      <w:r>
        <w:rPr>
          <w:rFonts w:ascii="Arial" w:cs="Arial" w:eastAsia="Arial" w:hAnsi="Arial"/>
          <w:sz w:val="16"/>
          <w:szCs w:val="16"/>
          <w:b w:val="1"/>
          <w:bCs w:val="1"/>
          <w:color w:val="auto"/>
        </w:rPr>
        <w:t>Closing</w:t>
      </w:r>
      <w:r>
        <w:rPr>
          <w:rFonts w:ascii="Arial" w:cs="Arial" w:eastAsia="Arial" w:hAnsi="Arial"/>
          <w:sz w:val="16"/>
          <w:szCs w:val="16"/>
          <w:color w:val="auto"/>
        </w:rPr>
        <w:t>”). If a proposed Business Combination is not consummated for any reason during the 24-month period (as such period may be extended) from the closing of the IPO, no Fee shall be due or payable to the Advisors hereunder. The Fee shall be exclusive of any other fees which may become payable to an Advisor pursuant to any other agreement among such Advisor and the Company or any Target.</w:t>
      </w:r>
    </w:p>
    <w:p>
      <w:pPr>
        <w:spacing w:after="0" w:line="166" w:lineRule="exact"/>
        <w:rPr>
          <w:rFonts w:ascii="Arial" w:cs="Arial" w:eastAsia="Arial" w:hAnsi="Arial"/>
          <w:sz w:val="16"/>
          <w:szCs w:val="16"/>
          <w:color w:val="auto"/>
        </w:rPr>
      </w:pPr>
    </w:p>
    <w:p>
      <w:pPr>
        <w:ind w:left="660" w:hanging="652"/>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At the Closing, the Company shall reimburse the Advisors for all reasonable and documented costs and out-of-pocket expenses incurred by the Advisors (including reasonable and documented fees and disbursements of outside counsel) in connection with the performance of the Services hereunder; provided, however, that such expenses shall not exceed $25,000 in the aggregate without the prior written consent of the Company.</w:t>
      </w:r>
    </w:p>
    <w:p>
      <w:pPr>
        <w:spacing w:after="0" w:line="186" w:lineRule="exact"/>
        <w:rPr>
          <w:rFonts w:ascii="Arial" w:cs="Arial" w:eastAsia="Arial" w:hAnsi="Arial"/>
          <w:sz w:val="18"/>
          <w:szCs w:val="18"/>
          <w:color w:val="auto"/>
        </w:rPr>
      </w:pPr>
    </w:p>
    <w:p>
      <w:pPr>
        <w:ind w:left="660" w:right="40" w:hanging="652"/>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Company Cooperation; Information.</w:t>
      </w:r>
      <w:r>
        <w:rPr>
          <w:rFonts w:ascii="Arial" w:cs="Arial" w:eastAsia="Arial" w:hAnsi="Arial"/>
          <w:sz w:val="18"/>
          <w:szCs w:val="18"/>
          <w:color w:val="auto"/>
        </w:rPr>
        <w:t xml:space="preserve"> (a)The Company will provide full cooperation to each Advisor as may be necessary for the efficient performance by such Advisor of its obligations hereunder, including providing to such Advisor and its counsel, on a timely basis, all documents and information regarding the Company and any Target that such Advisor may reasonably request or that are otherwise relevant to the Advisor’s performance of its obligations hereunder (collectively, the “</w:t>
      </w:r>
      <w:r>
        <w:rPr>
          <w:rFonts w:ascii="Arial" w:cs="Arial" w:eastAsia="Arial" w:hAnsi="Arial"/>
          <w:sz w:val="18"/>
          <w:szCs w:val="18"/>
          <w:b w:val="1"/>
          <w:bCs w:val="1"/>
          <w:color w:val="auto"/>
        </w:rPr>
        <w:t>Information</w:t>
      </w:r>
      <w:r>
        <w:rPr>
          <w:rFonts w:ascii="Arial" w:cs="Arial" w:eastAsia="Arial" w:hAnsi="Arial"/>
          <w:sz w:val="18"/>
          <w:szCs w:val="18"/>
          <w:color w:val="auto"/>
        </w:rPr>
        <w:t>”); making the Company’s management, auditors, consultants and advisors available to such Advisor; and using commercially reasonable efforts to provide such Advisor with reasonable access to the management, auditors, suppliers, customers, consultants and advisors of any Target. The Company will promptly notify the Advisors of any change in facts or circumstances or new developments affecting the Company or any Target or that might reasonably be considered material to the Advisors’ engagement hereunder.</w:t>
      </w:r>
    </w:p>
    <w:p>
      <w:pPr>
        <w:spacing w:after="0" w:line="191" w:lineRule="exact"/>
        <w:rPr>
          <w:rFonts w:ascii="Arial" w:cs="Arial" w:eastAsia="Arial" w:hAnsi="Arial"/>
          <w:sz w:val="18"/>
          <w:szCs w:val="18"/>
          <w:color w:val="auto"/>
        </w:rPr>
      </w:pPr>
    </w:p>
    <w:p>
      <w:pPr>
        <w:ind w:right="240" w:firstLine="656"/>
        <w:spacing w:after="0" w:line="311" w:lineRule="auto"/>
        <w:tabs>
          <w:tab w:leader="none" w:pos="130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Advisors shall not share with third parties any Information, presentations and/or materials about the Company, its shareholders and/or affiliates, any Business Combination and/or any Targets, to the extent that any such information has not already been provided to the public in the Registration Statement, unless the Advisors obtain the Company’s prior written approval (which may be provided via email).</w:t>
      </w:r>
    </w:p>
    <w:p>
      <w:pPr>
        <w:spacing w:after="0" w:line="148" w:lineRule="exact"/>
        <w:rPr>
          <w:rFonts w:ascii="Arial" w:cs="Arial" w:eastAsia="Arial" w:hAnsi="Arial"/>
          <w:sz w:val="16"/>
          <w:szCs w:val="16"/>
          <w:color w:val="auto"/>
        </w:rPr>
      </w:pPr>
    </w:p>
    <w:p>
      <w:pPr>
        <w:ind w:left="660" w:right="120" w:hanging="652"/>
        <w:spacing w:after="0" w:line="30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w:t>
      </w:r>
      <w:r>
        <w:rPr>
          <w:rFonts w:ascii="Arial" w:cs="Arial" w:eastAsia="Arial" w:hAnsi="Arial"/>
          <w:sz w:val="16"/>
          <w:szCs w:val="16"/>
          <w:color w:val="auto"/>
        </w:rPr>
        <w:t xml:space="preserve"> (a)The Company represents, warrants and covenants to each Advisor that all Information it makes available to such Advisor by or on behalf of the Company in connection with the performance of its obligations hereunder will not contain any untrue statement of a material fact or omit to state a material fact necessary in order to make statements made, in light of the circumstances under which they were made, not misleading as of the date thereof and as of the consummation of the Business Combination.</w:t>
      </w:r>
    </w:p>
    <w:p>
      <w:pPr>
        <w:spacing w:after="0" w:line="157" w:lineRule="exact"/>
        <w:rPr>
          <w:rFonts w:ascii="Arial" w:cs="Arial" w:eastAsia="Arial" w:hAnsi="Arial"/>
          <w:sz w:val="16"/>
          <w:szCs w:val="16"/>
          <w:color w:val="auto"/>
        </w:rPr>
      </w:pPr>
    </w:p>
    <w:p>
      <w:pPr>
        <w:ind w:right="40" w:firstLine="656"/>
        <w:spacing w:after="0" w:line="277" w:lineRule="auto"/>
        <w:tabs>
          <w:tab w:leader="none" w:pos="12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Advisor, severally and not jointly, represents, warrants and covenants to the Company that it is not prohibited from entering into this Agreement by any other contract, agreement, law or order.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Indemnity.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Company shall indemnify each Advisor and its affiliates and directors, officers, employees, shareholders, representatives and agents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indemnification provisions set forth in Annex I hereto, all of which are incorporated herein by reference.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right="40" w:firstLine="648"/>
        <w:spacing w:after="0" w:line="257" w:lineRule="auto"/>
        <w:rPr>
          <w:sz w:val="20"/>
          <w:szCs w:val="20"/>
          <w:color w:val="auto"/>
        </w:rPr>
      </w:pPr>
      <w:r>
        <w:rPr>
          <w:rFonts w:ascii="Arial" w:cs="Arial" w:eastAsia="Arial" w:hAnsi="Arial"/>
          <w:sz w:val="18"/>
          <w:szCs w:val="18"/>
          <w:color w:val="auto"/>
        </w:rPr>
        <w:t>Notwithstanding the foregoing and Annex I, each Advisor agrees, if there is no Closing, (i) that it does not have any right, title, interest or claim of any kind in or to any monies in the Company’s trust account (“</w:t>
      </w:r>
      <w:r>
        <w:rPr>
          <w:rFonts w:ascii="Arial" w:cs="Arial" w:eastAsia="Arial" w:hAnsi="Arial"/>
          <w:sz w:val="18"/>
          <w:szCs w:val="18"/>
          <w:b w:val="1"/>
          <w:bCs w:val="1"/>
          <w:color w:val="auto"/>
        </w:rPr>
        <w:t>Trust Account</w:t>
      </w:r>
      <w:r>
        <w:rPr>
          <w:rFonts w:ascii="Arial" w:cs="Arial" w:eastAsia="Arial" w:hAnsi="Arial"/>
          <w:sz w:val="18"/>
          <w:szCs w:val="18"/>
          <w:color w:val="auto"/>
        </w:rPr>
        <w:t>”) established in connection with the IPO with respect to its portion of the Fee or any expenses provided for hereunder (each, a “</w:t>
      </w:r>
      <w:r>
        <w:rPr>
          <w:rFonts w:ascii="Arial" w:cs="Arial" w:eastAsia="Arial" w:hAnsi="Arial"/>
          <w:sz w:val="18"/>
          <w:szCs w:val="18"/>
          <w:b w:val="1"/>
          <w:bCs w:val="1"/>
          <w:color w:val="auto"/>
        </w:rPr>
        <w:t>Claim</w:t>
      </w:r>
      <w:r>
        <w:rPr>
          <w:rFonts w:ascii="Arial" w:cs="Arial" w:eastAsia="Arial" w:hAnsi="Arial"/>
          <w:sz w:val="18"/>
          <w:szCs w:val="18"/>
          <w:color w:val="auto"/>
        </w:rPr>
        <w:t>”); (ii) to waive any Claim it may have in the future as a result of, or arising out of, any Services provided to the Company hereunder; and (iii) to not seek recourse against the Trust Account with respect to its portion of the Fee or any expenses provided for hereunder.</w:t>
      </w:r>
    </w:p>
    <w:p>
      <w:pPr>
        <w:spacing w:after="0" w:line="188" w:lineRule="exact"/>
        <w:rPr>
          <w:sz w:val="20"/>
          <w:szCs w:val="20"/>
          <w:color w:val="auto"/>
        </w:rPr>
      </w:pPr>
    </w:p>
    <w:p>
      <w:pPr>
        <w:jc w:val="both"/>
        <w:ind w:left="660" w:right="380" w:hanging="652"/>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Use of Name and Reports.</w:t>
      </w:r>
      <w:r>
        <w:rPr>
          <w:rFonts w:ascii="Arial" w:cs="Arial" w:eastAsia="Arial" w:hAnsi="Arial"/>
          <w:sz w:val="16"/>
          <w:szCs w:val="16"/>
          <w:color w:val="auto"/>
        </w:rPr>
        <w:t xml:space="preserve"> Without an Advisor’s prior written consent (which may be provided via email), neither the Company nor any of its affiliates (nor any director, officer, manager, partner, member, employee or agent thereof) shall quote or refer to in any public communication</w:t>
      </w:r>
    </w:p>
    <w:p>
      <w:pPr>
        <w:ind w:left="660"/>
        <w:spacing w:after="0" w:line="290" w:lineRule="auto"/>
        <w:rPr>
          <w:rFonts w:ascii="Arial" w:cs="Arial" w:eastAsia="Arial" w:hAnsi="Arial"/>
          <w:sz w:val="16"/>
          <w:szCs w:val="16"/>
          <w:color w:val="auto"/>
        </w:rPr>
      </w:pPr>
      <w:r>
        <w:rPr>
          <w:rFonts w:ascii="Arial" w:cs="Arial" w:eastAsia="Arial" w:hAnsi="Arial"/>
          <w:sz w:val="17"/>
          <w:szCs w:val="17"/>
          <w:color w:val="auto"/>
        </w:rPr>
        <w:t>(i) such Advisor’s name or (ii) any advice rendered by such Advisor to the Company or any communication from such Advisor, in connection with performance of the Services, except as required by applicable federal or state law, regulation or securities exchange rule.</w:t>
      </w:r>
    </w:p>
    <w:p>
      <w:pPr>
        <w:spacing w:after="0" w:line="161" w:lineRule="exact"/>
        <w:rPr>
          <w:rFonts w:ascii="Arial" w:cs="Arial" w:eastAsia="Arial" w:hAnsi="Arial"/>
          <w:sz w:val="16"/>
          <w:szCs w:val="16"/>
          <w:color w:val="auto"/>
        </w:rPr>
      </w:pPr>
    </w:p>
    <w:p>
      <w:pPr>
        <w:ind w:left="660" w:right="20" w:hanging="652"/>
        <w:spacing w:after="0" w:line="293"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Status as Independent Contractor.</w:t>
      </w:r>
      <w:r>
        <w:rPr>
          <w:rFonts w:ascii="Arial" w:cs="Arial" w:eastAsia="Arial" w:hAnsi="Arial"/>
          <w:sz w:val="16"/>
          <w:szCs w:val="16"/>
          <w:color w:val="auto"/>
        </w:rPr>
        <w:t xml:space="preserve"> The Advisors shall perform the Services as independent contractors and not as employees of the Company or affiliates thereof. It is expressly understood and agreed to by the parties that neither Advisor shall have authority to act for, represent or bind the Company or any affiliate thereof in any manner, except as may be expressly agreed to by the Company in writing. In rendering such services, each Advisor will be acting solely pursuant to a contractual relationship on an arm’s-length basis. This Agreement is not intended to create a fiduciary relationship between the parties and neither the Advisors nor any of the Advisors’ respective officers, directors or personnel will owe any fiduciary duty to the Company or any other person in connection with any of the matters contemplated by this Agreement.</w:t>
      </w:r>
    </w:p>
    <w:p>
      <w:pPr>
        <w:spacing w:after="0" w:line="164" w:lineRule="exact"/>
        <w:rPr>
          <w:rFonts w:ascii="Arial" w:cs="Arial" w:eastAsia="Arial" w:hAnsi="Arial"/>
          <w:sz w:val="16"/>
          <w:szCs w:val="16"/>
          <w:color w:val="auto"/>
        </w:rPr>
      </w:pPr>
    </w:p>
    <w:p>
      <w:pPr>
        <w:ind w:left="660" w:right="80" w:hanging="652"/>
        <w:spacing w:after="0" w:line="29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Potential Conflicts.</w:t>
      </w:r>
      <w:r>
        <w:rPr>
          <w:rFonts w:ascii="Arial" w:cs="Arial" w:eastAsia="Arial" w:hAnsi="Arial"/>
          <w:sz w:val="16"/>
          <w:szCs w:val="16"/>
          <w:color w:val="auto"/>
        </w:rPr>
        <w:t xml:space="preserve"> The Company acknowledges that each Advisor is a full-service securities firm engaged in securities trading and brokerage activities and providing investment banking and advisory services from which conflicting interests may arise. In the ordinary course of business, either Advisor and its respective affiliates may at any time hold long or short positions, and may trade or otherwise effect transactions, for its own account and the accounts of customers, in debt or equity securities of the Company, its affiliates or other entities that may be involved in the transactions contemplated hereby, and may provide advisory and other services to one or more actual or potential Targets, investors or other parties to any Business Combination or other transaction entered into by the Company, for which services such Advisor or one or more of its affiliates may be paid fees, including fees conditioned upon the closing of a particular Business Combination or other transaction or transactions. Nothing in this Agreement shall be construed to limit or restrict either Advisor or any of its respective affiliates in conducting any such business.</w:t>
      </w:r>
    </w:p>
    <w:p>
      <w:pPr>
        <w:spacing w:after="0" w:line="165"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This Agreement constitutes the entire understanding among the parties with respect to the subject matter hereof and supersedes all prior agreements and understandings, oral or written, with respect thereto. This Agreement may not be modified or terminated orally or in any manner other than by an agreement in writing signed by the parties hereto.</w:t>
      </w:r>
    </w:p>
    <w:p>
      <w:pPr>
        <w:spacing w:after="0" w:line="18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notices required or permitted to be given hereunder shall be in writing and shall be deemed given when sent via email to each party at its respective address set forth below its signature and received by such party’s online access provider or mailed by certified mail or private courier service, return receipt requested, addressed to each party at its respective addresses set forth above, or such other address as may be given by a party in a notice given pursuant to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Agreement may not be assigned by any party without the written consent of the other parties hereto. This Agreement shall be binding upon and shall inure to the benefit of the parties hereto and, except where prohibited, to their successors and permitted assigns.</w:t>
      </w:r>
    </w:p>
    <w:p>
      <w:pPr>
        <w:spacing w:after="0" w:line="17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Non-Exclusivity.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herein shall be deemed to restrict or prohibit the engagement by the Company of other consultants providing the same or similar services or the payment by the Company of fees to such parties. The Company’s engagement of any other consultant(s) shall not affect the Advisors’ right to receive the Fee and reimbursement of expenses pursuant to this Agreement.</w:t>
      </w:r>
    </w:p>
    <w:p>
      <w:pPr>
        <w:spacing w:after="0" w:line="18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Applicable Law; Venue.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Agreement shall be construed and enforced in accordance with the internal laws of the State of New York.</w:t>
      </w:r>
    </w:p>
    <w:p>
      <w:pPr>
        <w:spacing w:after="0" w:line="22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color w:val="auto"/>
        </w:rPr>
        <w:t>IN THE EVENT OF ANY DISPUTE UNDER THIS AGREEMENT, EACH PARTY HERETO AGREES THAT THE DISPUTE SHALL BE BROUGHT AND ENFORCED IN THE COURTS OF THE STATE OF NEW YORK, COUNTY OF NEW YORK UNDER THE ACCELERATED ADJUDICATION PROCEDURES OF THE COMMERCIAL DIVISION. EACH PARTY IRREVOCABLY SUBMITS TO SUCH JURISDICTION, WHICH JURISDICTION SHALL BE EXCLUSIVE. EACH PARTY HEREBY WAIVES ANY OBJECTION TO SUCH EXCLUSIVE JURISDICTION AND THAT SUCH COURTS REPRESENT AN INCONVENIENT FORUM. ANY PROCESS OR SUMMONS TO BE SERVED IN SUCH A DISPUTE UPON A PARTY MAY BE SERVED BY TRANSMITTING A COPY THEREOF BY REGISTERED OR CERTIFIED MAIL, POSTAGE PREPAID, ADDRESSED TO SUCH PARTY AT THE ADDRESS FOR SUCH PARTY SET FORTH AT THE BEGINNING OF THIS AGREEMENT. SUCH MAILING SHALL BE DEEMED PERSONAL SERVICE AND SHALL BE LEGAL AND BINDING UPON THE PARTY BEING SERVED. THE PARTIES AGREE THAT THE PREVAILING PARTY(IES) IN ANY SUCH ACTION SHALL BE ENTITLED TO RECOVER FROM THE OTHER PARTY(IES) ALL OF SUCH PREVAILING PARTY’S(IES’) REASONABLE ATTORNEYS’ FEES AND EXPENSES RELATING TO SUCH ACTION OR PROCEEDING AND/OR INCURRED IN CONNECTION WITH THE PREPARATION THEREFOR.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EACH OF THE PARTIES HERETO HEREBY WAIVES ANY RIGHT TO TRIAL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IN ANY SUIT OR PROCEEDING ARISING OUT OF OR RELATING TO THIS AGREEMENT.</w:t>
      </w:r>
    </w:p>
    <w:p>
      <w:pPr>
        <w:spacing w:after="0" w:line="21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term “including” shall mean “including, but not limited to”.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Agreement may be executed in several original or facsimile counterparts, each one of which shall constitute an original, and all of which together shall constitute but one instrument. Counterparts may be delivered via facsimile, electronic mail (including any electronic signature covered by the U.S. federal</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9" w:name="page60"/>
    <w:bookmarkEnd w:id="59"/>
    <w:p>
      <w:pPr>
        <w:ind w:firstLine="648"/>
        <w:spacing w:after="0" w:line="308" w:lineRule="auto"/>
        <w:rPr>
          <w:sz w:val="20"/>
          <w:szCs w:val="20"/>
          <w:color w:val="auto"/>
        </w:rPr>
      </w:pPr>
      <w:r>
        <w:rPr>
          <w:rFonts w:ascii="Arial" w:cs="Arial" w:eastAsia="Arial" w:hAnsi="Arial"/>
          <w:sz w:val="17"/>
          <w:szCs w:val="17"/>
          <w:color w:val="auto"/>
        </w:rPr>
        <w:t>If the foregoing correctly sets forth the understanding among the Advisors and the Company with respect to the foregoing, please indicate your agreement by signing in the place provided below, and this letter shall become a binding contract as of the date first set forth above.</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William Burns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William.burns@cowen.com</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CRAIG-HALLUM CAPITAL GROUP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Rick Hartfiel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Rick Hartfiel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Head of Investment Banking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rick.hartfiel@craig-hallum.com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890 5TH AVENUE PARTNERS,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Adam Rothstein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Executive Chairman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adam@890fifthavenue.com</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Marketing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connection with the Company’s engagement of Cowen and Company, LLC and Craig-Hallum Capital Group LLC (each, an “</w:t>
      </w:r>
      <w:r>
        <w:rPr>
          <w:rFonts w:ascii="Arial" w:cs="Arial" w:eastAsia="Arial" w:hAnsi="Arial"/>
          <w:sz w:val="16"/>
          <w:szCs w:val="16"/>
          <w:b w:val="1"/>
          <w:bCs w:val="1"/>
          <w:color w:val="auto"/>
        </w:rPr>
        <w:t>Advisor</w:t>
      </w:r>
      <w:r>
        <w:rPr>
          <w:rFonts w:ascii="Arial" w:cs="Arial" w:eastAsia="Arial" w:hAnsi="Arial"/>
          <w:sz w:val="16"/>
          <w:szCs w:val="16"/>
          <w:color w:val="auto"/>
        </w:rPr>
        <w:t>” and collectively, the “</w:t>
      </w:r>
      <w:r>
        <w:rPr>
          <w:rFonts w:ascii="Arial" w:cs="Arial" w:eastAsia="Arial" w:hAnsi="Arial"/>
          <w:sz w:val="16"/>
          <w:szCs w:val="16"/>
          <w:b w:val="1"/>
          <w:bCs w:val="1"/>
          <w:color w:val="auto"/>
        </w:rPr>
        <w:t>Advisors</w:t>
      </w:r>
      <w:r>
        <w:rPr>
          <w:rFonts w:ascii="Arial" w:cs="Arial" w:eastAsia="Arial" w:hAnsi="Arial"/>
          <w:sz w:val="16"/>
          <w:szCs w:val="16"/>
          <w:color w:val="auto"/>
        </w:rPr>
        <w:t>”) pursuant to that certain letter agreement (“</w:t>
      </w:r>
      <w:r>
        <w:rPr>
          <w:rFonts w:ascii="Arial" w:cs="Arial" w:eastAsia="Arial" w:hAnsi="Arial"/>
          <w:sz w:val="16"/>
          <w:szCs w:val="16"/>
          <w:b w:val="1"/>
          <w:bCs w:val="1"/>
          <w:color w:val="auto"/>
        </w:rPr>
        <w:t>Agreement</w:t>
      </w:r>
      <w:r>
        <w:rPr>
          <w:rFonts w:ascii="Arial" w:cs="Arial" w:eastAsia="Arial" w:hAnsi="Arial"/>
          <w:sz w:val="16"/>
          <w:szCs w:val="16"/>
          <w:color w:val="auto"/>
        </w:rPr>
        <w:t>”) of which this Annex forms a part, 890 5th Avenue Partners, Inc. (the “</w:t>
      </w:r>
      <w:r>
        <w:rPr>
          <w:rFonts w:ascii="Arial" w:cs="Arial" w:eastAsia="Arial" w:hAnsi="Arial"/>
          <w:sz w:val="16"/>
          <w:szCs w:val="16"/>
          <w:b w:val="1"/>
          <w:bCs w:val="1"/>
          <w:color w:val="auto"/>
        </w:rPr>
        <w:t>Company</w:t>
      </w:r>
      <w:r>
        <w:rPr>
          <w:rFonts w:ascii="Arial" w:cs="Arial" w:eastAsia="Arial" w:hAnsi="Arial"/>
          <w:sz w:val="16"/>
          <w:szCs w:val="16"/>
          <w:color w:val="auto"/>
        </w:rPr>
        <w:t>”) hereby agrees, subject to the second paragraph of Section 5 of the Agreement, to indemnify and hold harmless each Advisor and each of their respective affiliates and the respective directors, officers, employees, shareholders, representatives and agents of any of the foregoing (collectively,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claims, actions, suits, proceedings (including those of stockholders), damages, liabilities and expenses incurred by any of them (including the reasonable fees and expenses of counsel), as incurred (collectively a “</w:t>
      </w:r>
      <w:r>
        <w:rPr>
          <w:rFonts w:ascii="Arial" w:cs="Arial" w:eastAsia="Arial" w:hAnsi="Arial"/>
          <w:sz w:val="16"/>
          <w:szCs w:val="16"/>
          <w:b w:val="1"/>
          <w:bCs w:val="1"/>
          <w:color w:val="auto"/>
        </w:rPr>
        <w:t>Claim</w:t>
      </w:r>
      <w:r>
        <w:rPr>
          <w:rFonts w:ascii="Arial" w:cs="Arial" w:eastAsia="Arial" w:hAnsi="Arial"/>
          <w:sz w:val="16"/>
          <w:szCs w:val="16"/>
          <w:color w:val="auto"/>
        </w:rPr>
        <w:t>”), that (A) are related to or arise out of (i) any actions taken or omitted to be taken (including any untrue statements made or any statements omitted to be made) by the Company, or</w:t>
      </w:r>
    </w:p>
    <w:p>
      <w:pPr>
        <w:spacing w:after="0" w:line="1" w:lineRule="exact"/>
        <w:rPr>
          <w:sz w:val="20"/>
          <w:szCs w:val="20"/>
          <w:color w:val="auto"/>
        </w:rPr>
      </w:pPr>
    </w:p>
    <w:p>
      <w:pPr>
        <w:ind w:firstLine="8"/>
        <w:spacing w:after="0" w:line="25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actions taken or omitted to be taken by any Indemnified Person, in connection with the Company’s engagement of such Advisor, or (B) otherwise relate to or arise out of such Advisor’s activities on the Company’s behalf under such Advisor’s engagement, and the Company shall reimburse any Indemnified Person for all reasonable, documented, out-of-pocket expenses (including the reasonable and documented fees and out-of-pocket expenses of outside counsel) as incurred by such Indemnified Person in connection with investigating, preparing and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bad faith, gross negligence or willful misconduct of any Indemnified Person. The Company further agrees that no Indemnified Person shall have any liability to the Company for or in connection with the Company’s engagement of such Advisor except for any Claim incurred by the Company as a result of such Indemnified Person’s bad faith, gross negligence or willful misconduct.</w:t>
      </w:r>
    </w:p>
    <w:p>
      <w:pPr>
        <w:spacing w:after="0" w:line="19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further agrees that it will not, without the prior written consent of an Advisor, settle, compromise or consent to the entry of any judgment in any pending or threatened Claim in respect of which indemnification may be sought hereunder by such Advisor or its applicable Indemnified Persons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71"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an actual or potential conflict of interest or if the defendant in, or target of, any such Claim includes an Indemnified Person and the Company, and legal counsel to such Indemnified Person reasonably concludes that there may be actual or potential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and documented fees and reasonable, documented, out-of-pocket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for the reasonable fees and expenses of its counsel and all amounts paid as a result of such Claim or the compromise or settlement thereof.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right="20" w:firstLine="648"/>
        <w:spacing w:after="0" w:line="288" w:lineRule="auto"/>
        <w:rPr>
          <w:sz w:val="20"/>
          <w:szCs w:val="20"/>
          <w:color w:val="auto"/>
        </w:rPr>
      </w:pPr>
      <w:r>
        <w:rPr>
          <w:rFonts w:ascii="Arial" w:cs="Arial" w:eastAsia="Arial" w:hAnsi="Arial"/>
          <w:sz w:val="16"/>
          <w:szCs w:val="16"/>
          <w:color w:val="auto"/>
        </w:rPr>
        <w:t>In addition, with respect to any Claim in which the Company assumes the defense, the Indemnified Person shall have the right to participate in such Claim and to retain his, her or its own counsel therefor at his, her or its own expense. The Company agrees that if any indemnity sought by an Indemnified Person hereunder is held by a court to be unavailable for any reason, then (whether or not an Advisor is an Indemnified Person) the Company and the applicable Advisor shall contribute to the Claim for which such indemnity is held unavailable in such proportion as is appropriate to reflect the relative benefits to the Company, on the one hand, and such Advisor, on the other, in connection with such Advisor’s engagement referred to above, subject to the limitation that in no event shall the amount of any such Advisor’s contribution to such Claim exceed the amount of Fee actually received by such Advisor from the Company pursuant to such engagement. The Company hereby agrees that the relative benefits to the Company, on the one hand, and each Advisor, on the other, with respect to such Advisor’s engagement shall be deemed to be in the same proportion as (a) the total value paid or proposed to be paid or received by the Company or its stockholders, as the case may be, pursuant to the transaction (whether or not consummated) for which such Advisor is engaged to render services bears to (b) the portion of the Fee paid or proposed to be paid to such Advisor in connection with such engagement.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890 5th Avenue Partners, Inc.</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Rye, New York 10580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Rye, New York 10580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between 890 5th Avenue Partners,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200 Park Avenue Partners,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dated as of the date hereof, will confirm our agreement that, commencing on the date the securities of the Company are first listed on the Nasdaq Capital Market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 pursuant to a Registration Statement on Form S-1 and prospectus filed with the U.S. Securities and Exchange Commission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78" w:lineRule="exact"/>
        <w:rPr>
          <w:sz w:val="20"/>
          <w:szCs w:val="20"/>
          <w:color w:val="auto"/>
        </w:rPr>
      </w:pPr>
    </w:p>
    <w:p>
      <w:pPr>
        <w:jc w:val="both"/>
        <w:ind w:firstLine="656"/>
        <w:spacing w:after="0" w:line="259" w:lineRule="auto"/>
        <w:tabs>
          <w:tab w:leader="none" w:pos="10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Sponsor shall make available, or cause to be made available, to the Company, at 14 Elm Place, Suite 206, Rye, New York 10580 (or any successor location), office space, utilities, general office and secretarial support, and administrative and support services as may be reasonably required by the Company. In exchange therefor, the Company shall pay to the Sponsor $20,000 per month on the Listing Date and continuing monthly thereafter until the Termination Date; and</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1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Sponsor hereby irrevocably waives any and all right, title, interest, causes of action and claims of any kind as a result of, or arising out of, this Agreement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and any and all right to seek payment of any amounts due to it out of, the trust account established for the benefit of the public stockholders of the Company and into which all or substantially all of the proceeds of the Company’s initial public offering will be deposited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between the parties hereto, written or oral, to the extent they relate in any way to the subject matter hereof or the transactions contemplated 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not be amended, modified or waived as to any particular provision, except by a written instrument executed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relationship of the parties hereto, and any litigation between the parties (whether grounded in contract, tort, statute, law or equity) shall be governed by, construed in accordance with, and interpreted pursuant to the laws of the State of Delaware without giving effect to any choice of law principles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890 5TH AVENUE PARTNERS, INC.</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Rothstein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 PARK AVENUE PARTNERS,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Adam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Adam Rothstein</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4"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Administrative Services Agreement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40" w:right="3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Emiliano Calemzuk, Chief Executive Officer of 890 5th Avenue Partners, Inc., certify that:</w:t>
      </w:r>
    </w:p>
    <w:p>
      <w:pPr>
        <w:spacing w:after="0" w:line="225" w:lineRule="exact"/>
        <w:rPr>
          <w:sz w:val="20"/>
          <w:szCs w:val="20"/>
          <w:color w:val="auto"/>
        </w:rPr>
      </w:pPr>
    </w:p>
    <w:p>
      <w:pPr>
        <w:ind w:left="1380" w:hanging="724"/>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890 5th Avenue Partners, Inc.;</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60" w:firstLine="656"/>
        <w:spacing w:after="0" w:line="308" w:lineRule="auto"/>
        <w:tabs>
          <w:tab w:leader="none" w:pos="13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80" w:firstLine="656"/>
        <w:spacing w:after="0" w:line="277"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firstLine="644"/>
        <w:spacing w:after="0" w:line="263" w:lineRule="auto"/>
        <w:tabs>
          <w:tab w:leader="none" w:pos="20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if any,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2100" w:hanging="796"/>
        <w:spacing w:after="0"/>
        <w:tabs>
          <w:tab w:leader="none" w:pos="2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660" w:right="140" w:firstLine="644"/>
        <w:spacing w:after="0" w:line="342" w:lineRule="auto"/>
        <w:tabs>
          <w:tab w:leader="none" w:pos="209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580" w:firstLine="644"/>
        <w:spacing w:after="0" w:line="263" w:lineRule="auto"/>
        <w:tabs>
          <w:tab w:leader="none" w:pos="21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ind w:right="80" w:firstLine="656"/>
        <w:spacing w:after="0" w:line="342" w:lineRule="auto"/>
        <w:tabs>
          <w:tab w:leader="none" w:pos="13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firstLine="644"/>
        <w:spacing w:after="0" w:line="342" w:lineRule="auto"/>
        <w:tabs>
          <w:tab w:leader="none" w:pos="209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360" w:firstLine="644"/>
        <w:spacing w:after="0" w:line="277" w:lineRule="auto"/>
        <w:tabs>
          <w:tab w:leader="none" w:pos="210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Emiliano Calemzuk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left="340" w:right="100"/>
        <w:spacing w:after="0" w:line="282" w:lineRule="auto"/>
        <w:rPr>
          <w:sz w:val="20"/>
          <w:szCs w:val="20"/>
          <w:color w:val="auto"/>
        </w:rPr>
      </w:pPr>
      <w:r>
        <w:rPr>
          <w:rFonts w:ascii="Arial" w:cs="Arial" w:eastAsia="Arial" w:hAnsi="Arial"/>
          <w:sz w:val="18"/>
          <w:szCs w:val="18"/>
          <w:b w:val="1"/>
          <w:bCs w:val="1"/>
          <w:color w:val="auto"/>
        </w:rPr>
        <w:t>Certification of Principal Financial and Accounting Officer Pursuant to Exchange Act Rule 13a-14(a)/15d-14(a)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Michael Del Nin, Chief Financial Officer and Chief Operating Officer of 890 5th Avenue Partners, Inc., certify that:</w:t>
      </w:r>
    </w:p>
    <w:p>
      <w:pPr>
        <w:spacing w:after="0" w:line="225" w:lineRule="exact"/>
        <w:rPr>
          <w:sz w:val="20"/>
          <w:szCs w:val="20"/>
          <w:color w:val="auto"/>
        </w:rPr>
      </w:pPr>
    </w:p>
    <w:p>
      <w:pPr>
        <w:ind w:left="1380" w:hanging="724"/>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890 5th Avenue Partners, Inc.;</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60" w:firstLine="656"/>
        <w:spacing w:after="0" w:line="308" w:lineRule="auto"/>
        <w:tabs>
          <w:tab w:leader="none" w:pos="13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80" w:firstLine="656"/>
        <w:spacing w:after="0" w:line="277" w:lineRule="auto"/>
        <w:tabs>
          <w:tab w:leader="none" w:pos="13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firstLine="644"/>
        <w:spacing w:after="0" w:line="263" w:lineRule="auto"/>
        <w:tabs>
          <w:tab w:leader="none" w:pos="20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if any,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2100" w:hanging="796"/>
        <w:spacing w:after="0"/>
        <w:tabs>
          <w:tab w:leader="none" w:pos="2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660" w:right="140" w:firstLine="644"/>
        <w:spacing w:after="0" w:line="342" w:lineRule="auto"/>
        <w:tabs>
          <w:tab w:leader="none" w:pos="209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580" w:firstLine="644"/>
        <w:spacing w:after="0" w:line="263" w:lineRule="auto"/>
        <w:tabs>
          <w:tab w:leader="none" w:pos="21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ind w:right="80" w:firstLine="656"/>
        <w:spacing w:after="0" w:line="342" w:lineRule="auto"/>
        <w:tabs>
          <w:tab w:leader="none" w:pos="13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firstLine="644"/>
        <w:spacing w:after="0" w:line="342" w:lineRule="auto"/>
        <w:tabs>
          <w:tab w:leader="none" w:pos="20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360" w:firstLine="644"/>
        <w:spacing w:after="0" w:line="277" w:lineRule="auto"/>
        <w:tabs>
          <w:tab w:leader="none" w:pos="210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Del 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Del 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on Form 10-K of 890 5th Avenue Partners, Inc. (the “Company”) for the fiscal year ended December 31, 2020, as filed with the Securities and Exchange Commission (the “Report”), I, Emiliano Calemzuk, Chief Executive Officer of the Company, and Michael Del Nin, Chief Financial Officer and Chief Operating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1380" w:hanging="72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656"/>
        <w:spacing w:after="0" w:line="277" w:lineRule="auto"/>
        <w:tabs>
          <w:tab w:leader="none" w:pos="13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Emiliano Calemzuk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Del 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Del 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Roman"/>
      <w:start w:val="3"/>
    </w:lvl>
  </w:abstractNum>
  <w:abstractNum w:abstractNumId="2">
    <w:nsid w:val="2443A858"/>
    <w:multiLevelType w:val="hybridMultilevel"/>
    <w:lvl w:ilvl="0">
      <w:lvlJc w:val="left"/>
      <w:lvlText w:val="(%1)"/>
      <w:numFmt w:val="lowerRoman"/>
      <w:start w:val="3"/>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upperLetter"/>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lowerRoman"/>
      <w:start w:val="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lowerLetter"/>
      <w:start w:val="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Letter"/>
      <w:start w:val="25"/>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lvl w:ilvl="1">
      <w:lvlJc w:val="left"/>
      <w:lvlText w:val="(%2)"/>
      <w:numFmt w:val="lowerRoman"/>
      <w:start w:val="1"/>
    </w:lvl>
  </w:abstractNum>
  <w:abstractNum w:abstractNumId="27">
    <w:nsid w:val="5577F8E1"/>
    <w:multiLevelType w:val="hybridMultilevel"/>
    <w:lvl w:ilvl="0">
      <w:lvlJc w:val="left"/>
      <w:lvlText w:val="%1"/>
      <w:numFmt w:val="decimal"/>
      <w:start w:val="1"/>
    </w:lvl>
    <w:lvl w:ilvl="1">
      <w:lvlJc w:val="left"/>
      <w:lvlText w:val="(%2)"/>
      <w:numFmt w:val="lowerLetter"/>
      <w:start w:val="2"/>
    </w:lvl>
  </w:abstractNum>
  <w:abstractNum w:abstractNumId="28">
    <w:nsid w:val="440BADFC"/>
    <w:multiLevelType w:val="hybridMultilevel"/>
    <w:lvl w:ilvl="0">
      <w:lvlJc w:val="left"/>
      <w:lvlText w:val="%1."/>
      <w:numFmt w:val="decimal"/>
      <w:start w:val="2"/>
    </w:lvl>
    <w:lvl w:ilvl="1">
      <w:lvlJc w:val="left"/>
      <w:lvlText w:val="(%2)"/>
      <w:numFmt w:val="lowerLetter"/>
      <w:start w:val="2"/>
    </w:lvl>
  </w:abstractNum>
  <w:abstractNum w:abstractNumId="29">
    <w:nsid w:val="5072367"/>
    <w:multiLevelType w:val="hybridMultilevel"/>
    <w:lvl w:ilvl="0">
      <w:lvlJc w:val="left"/>
      <w:lvlText w:val="%1."/>
      <w:numFmt w:val="decimal"/>
      <w:start w:val="6"/>
    </w:lvl>
  </w:abstractNum>
  <w:abstractNum w:abstractNumId="30">
    <w:nsid w:val="3804823E"/>
    <w:multiLevelType w:val="hybridMultilevel"/>
    <w:lvl w:ilvl="0">
      <w:lvlJc w:val="left"/>
      <w:lvlText w:val="%1."/>
      <w:numFmt w:val="decimal"/>
      <w:start w:val="10"/>
    </w:lvl>
  </w:abstractNum>
  <w:abstractNum w:abstractNumId="31">
    <w:nsid w:val="77465F01"/>
    <w:multiLevelType w:val="hybridMultilevel"/>
    <w:lvl w:ilvl="0">
      <w:lvlJc w:val="left"/>
      <w:lvlText w:val="%1."/>
      <w:numFmt w:val="decimal"/>
      <w:start w:val="11"/>
    </w:lvl>
  </w:abstractNum>
  <w:abstractNum w:abstractNumId="32">
    <w:nsid w:val="7724C67E"/>
    <w:multiLevelType w:val="hybridMultilevel"/>
    <w:lvl w:ilvl="0">
      <w:lvlJc w:val="left"/>
      <w:lvlText w:val="%1."/>
      <w:numFmt w:val="decimal"/>
      <w:start w:val="12"/>
    </w:lvl>
  </w:abstractNum>
  <w:abstractNum w:abstractNumId="33">
    <w:nsid w:val="5C482A97"/>
    <w:multiLevelType w:val="hybridMultilevel"/>
    <w:lvl w:ilvl="0">
      <w:lvlJc w:val="left"/>
      <w:lvlText w:val="%1."/>
      <w:numFmt w:val="decimal"/>
      <w:start w:val="13"/>
    </w:lvl>
  </w:abstractNum>
  <w:abstractNum w:abstractNumId="34">
    <w:nsid w:val="2463B9EA"/>
    <w:multiLevelType w:val="hybridMultilevel"/>
    <w:lvl w:ilvl="0">
      <w:lvlJc w:val="left"/>
      <w:lvlText w:val="%1."/>
      <w:numFmt w:val="decimal"/>
      <w:start w:val="14"/>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5"/>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5"/>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34" Type="http://schemas.openxmlformats.org/officeDocument/2006/relationships/hyperlink" Target="http://www.sec.gov/Archives/edgar/data/0001828972/000110465921004786/tm213318d1_ex1-1.htm" TargetMode="External"/><Relationship Id="rId35" Type="http://schemas.openxmlformats.org/officeDocument/2006/relationships/hyperlink" Target="http://www.sec.gov/Archives/edgar/data/0001828972/000110465921004786/tm213318d1_ex3-1.htm" TargetMode="External"/><Relationship Id="rId36" Type="http://schemas.openxmlformats.org/officeDocument/2006/relationships/hyperlink" Target="http://www.sec.gov/Archives/edgar/data/0001828972/000110465921004786/tm213318d1_ex3-2.htm" TargetMode="External"/><Relationship Id="rId37" Type="http://schemas.openxmlformats.org/officeDocument/2006/relationships/hyperlink" Target="http://www.sec.gov/Archives/edgar/data/0001828972/000110465921002616/tm2034583d14_ex4-1.htm" TargetMode="External"/><Relationship Id="rId38" Type="http://schemas.openxmlformats.org/officeDocument/2006/relationships/hyperlink" Target="http://www.sec.gov/Archives/edgar/data/1828972/000110465921001623/tm2034583d8_ex4-2.htm" TargetMode="External"/><Relationship Id="rId39" Type="http://schemas.openxmlformats.org/officeDocument/2006/relationships/hyperlink" Target="http://www.sec.gov/Archives/edgar/data/0001828972/000110465921004786/tm213318d1_ex4-1.htm" TargetMode="External"/><Relationship Id="rId40" Type="http://schemas.openxmlformats.org/officeDocument/2006/relationships/hyperlink" Target="http://www.sec.gov/Archives/edgar/data/1828972/000110465920139141/tm2034583d5_ex10-1.htm" TargetMode="External"/><Relationship Id="rId41" Type="http://schemas.openxmlformats.org/officeDocument/2006/relationships/hyperlink" Target="http://www.sec.gov/Archives/edgar/data/1828972/000110465920139141/tm2034583d5_ex10-5.htm" TargetMode="External"/><Relationship Id="rId42" Type="http://schemas.openxmlformats.org/officeDocument/2006/relationships/hyperlink" Target="http://www.sec.gov/Archives/edgar/data/0001828972/000110465921004786/tm213318d1_ex10-1.htm" TargetMode="External"/><Relationship Id="rId43" Type="http://schemas.openxmlformats.org/officeDocument/2006/relationships/hyperlink" Target="http://www.sec.gov/Archives/edgar/data/0001828972/000110465921004786/tm213318d1_ex10-2.htm" TargetMode="External"/><Relationship Id="rId44" Type="http://schemas.openxmlformats.org/officeDocument/2006/relationships/hyperlink" Target="http://www.sec.gov/Archives/edgar/data/0001828972/000110465921004786/tm213318d1_ex10-3.htm" TargetMode="External"/><Relationship Id="rId45" Type="http://schemas.openxmlformats.org/officeDocument/2006/relationships/hyperlink" Target="http://www.sec.gov/Archives/edgar/data/0001828972/000110465921004786/tm213318d1_ex10-4.htm" TargetMode="External"/><Relationship Id="rId46" Type="http://schemas.openxmlformats.org/officeDocument/2006/relationships/hyperlink" Target="http://www.sec.gov/Archives/edgar/data/0001828972/000110465921004786/tm213318d1_ex10-5.htm" TargetMode="External"/><Relationship Id="rId47" Type="http://schemas.openxmlformats.org/officeDocument/2006/relationships/hyperlink" Target="http://www.sec.gov/Archives/edgar/data/0001828972/000110465921004786/tm213318d1_ex10-6.htm" TargetMode="External"/><Relationship Id="rId48" Type="http://schemas.openxmlformats.org/officeDocument/2006/relationships/hyperlink" Target="http://www.sec.gov/Archives/edgar/data/0001828972/000110465921004786/tm213318d1_ex10-7.htm" TargetMode="External"/><Relationship Id="rId49" Type="http://schemas.openxmlformats.org/officeDocument/2006/relationships/hyperlink" Target="http://www.sec.gov/Archives/edgar/data/1828972/000110465921001623/tm2034583d8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2021-03-31T16:51:48Z</dcterms:created>
  <dcterms:modified xsi:type="dcterms:W3CDTF">2021-03-31T16:51:48Z</dcterms:modified>
</cp:coreProperties>
</file>