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1343.xml.htm"/>
      <w:bookmarkStart w:id="1" w:name="kswkform4_17865713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Omer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974"/>
        <w:gridCol w:w="455"/>
        <w:gridCol w:w="670"/>
        <w:gridCol w:w="1164"/>
        <w:gridCol w:w="999"/>
        <w:gridCol w:w="9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393,761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411,592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1.13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404,595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17,831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124,817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Class A common stock reflect the settlement of restricted stock units ("RSUs") on August 11, 2026. Each RSU is convertible into a share of Issuer's Class A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pay taxes applicable to the settlement of the RSUs previously awarded to the Reporting Person to which footnote (1) refers.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of record by Mr. Omer's spouse. Mr. Omer may be deemed to beneficially own all of the shares held of record by his spouse; however, Mr. Omer disclaims beneficial ownership of the shares held of record by his spouse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1,667 remaining RSUs vested on May 19, 2026 and settled on the transaction date. Following this settlement, no RSUs remain outstanding under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17,831 RSUs settled on the transaction date. The remaining 124,817 RSUs vest as to 1/12 of the total award quarterly in equal installments on the 1st of November, February, May and August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Matthew Omer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9846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852</Words>
  <Characters>4410</Characters>
  <CharactersWithSpaces>5144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