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22,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892" w:type="dxa"/>
        <w:jc w:val="left"/>
        <w:tblInd w:w="0" w:type="dxa"/>
        <w:tblLayout w:type="fixed"/>
        <w:tblCellMar>
          <w:top w:w="28" w:type="dxa"/>
          <w:left w:w="28" w:type="dxa"/>
          <w:bottom w:w="28" w:type="dxa"/>
          <w:right w:w="28" w:type="dxa"/>
        </w:tblCellMar>
      </w:tblPr>
      <w:tblGrid>
        <w:gridCol w:w="948"/>
        <w:gridCol w:w="833"/>
        <w:gridCol w:w="843"/>
        <w:gridCol w:w="403"/>
        <w:gridCol w:w="403"/>
        <w:gridCol w:w="408"/>
        <w:gridCol w:w="599"/>
        <w:gridCol w:w="599"/>
        <w:gridCol w:w="856"/>
      </w:tblGrid>
      <w:tr>
        <w:trPr/>
        <w:tc>
          <w:tcPr>
            <w:tcW w:w="9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4"/>
                <w:sz w:val="20"/>
              </w:rPr>
            </w:pPr>
            <w:r>
              <w:rPr>
                <w:rFonts w:ascii="Times New Roman;serif" w:hAnsi="Times New Roman;serif"/>
                <w:b/>
                <w:color w:val="000004"/>
                <w:sz w:val="20"/>
              </w:rPr>
              <w:t>001-39877</w:t>
            </w:r>
          </w:p>
        </w:tc>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85-3022075</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 incorporation or organization)</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 File Number)</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 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pPr>
      <w:r>
        <w:rPr>
          <w:rFonts w:ascii="Times New Roman;serif" w:hAnsi="Times New Roman;serif"/>
          <w:b/>
          <w:color w:val="000000"/>
          <w:sz w:val="20"/>
        </w:rPr>
        <w:t>50 West 23</w:t>
      </w:r>
      <w:r>
        <w:rPr>
          <w:rFonts w:ascii="Times New Roman;serif" w:hAnsi="Times New Roman;serif"/>
          <w:b/>
          <w:color w:val="000000"/>
          <w:sz w:val="13"/>
        </w:rPr>
        <w:t>rd</w:t>
      </w:r>
      <w:r>
        <w:rPr>
          <w:color w:val="000000"/>
        </w:rPr>
        <w:t xml:space="preserve"> </w:t>
      </w:r>
      <w:r>
        <w:rPr>
          <w:rFonts w:ascii="Times New Roman;serif" w:hAnsi="Times New Roman;serif"/>
          <w:b/>
          <w:color w:val="000000"/>
          <w:sz w:val="20"/>
        </w:rPr>
        <w:t>Street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New York, New York 10010</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registrant’s principal executive offices, and zip code)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(646) 397-2039</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447" w:type="dxa"/>
        <w:jc w:val="left"/>
        <w:tblInd w:w="0" w:type="dxa"/>
        <w:tblLayout w:type="fixed"/>
        <w:tblCellMar>
          <w:top w:w="28" w:type="dxa"/>
          <w:left w:w="28" w:type="dxa"/>
          <w:bottom w:w="28" w:type="dxa"/>
          <w:right w:w="28" w:type="dxa"/>
        </w:tblCellMar>
      </w:tblPr>
      <w:tblGrid>
        <w:gridCol w:w="124"/>
        <w:gridCol w:w="109"/>
        <w:gridCol w:w="109"/>
        <w:gridCol w:w="2662"/>
        <w:gridCol w:w="2662"/>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13e-4(c) under the Exchange Act (17 CFR 240.13e-4(c))</w:t>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03"/>
        <w:gridCol w:w="2038"/>
        <w:gridCol w:w="2062"/>
        <w:gridCol w:w="109"/>
        <w:gridCol w:w="109"/>
        <w:gridCol w:w="109"/>
        <w:gridCol w:w="307"/>
        <w:gridCol w:w="307"/>
        <w:gridCol w:w="308"/>
        <w:gridCol w:w="109"/>
        <w:gridCol w:w="109"/>
        <w:gridCol w:w="109"/>
        <w:gridCol w:w="533"/>
        <w:gridCol w:w="533"/>
        <w:gridCol w:w="760"/>
      </w:tblGrid>
      <w:tr>
        <w:trPr/>
        <w:tc>
          <w:tcPr>
            <w:tcW w:w="2703"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2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8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on which registered</w:t>
            </w:r>
          </w:p>
        </w:tc>
      </w:tr>
      <w:tr>
        <w:trPr/>
        <w:tc>
          <w:tcPr>
            <w:tcW w:w="68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BZFD</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68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warrants, each whole warrant exercisable for one share of Class A Common Stock at an exercise price of approximately $46.00 per share</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2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BZFDW</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8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or Rule 12b-2 of the Securities Exchange Act of 1934.</w:t>
      </w:r>
    </w:p>
    <w:p>
      <w:pPr>
        <w:pStyle w:val="TextBody"/>
        <w:bidi w:val="0"/>
        <w:spacing w:lineRule="auto" w:line="276" w:before="0" w:after="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4"/>
        </w:rPr>
        <w:t>x</w:t>
      </w:r>
    </w:p>
    <w:p>
      <w:pPr>
        <w:pStyle w:val="TextBody"/>
        <w:bidi w:val="0"/>
        <w:spacing w:lineRule="auto" w:line="276"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2.05 Costs Associated with Exit or Disposal Activities.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22, 2026, the Board of Directors of BuzzFeed, Inc. (the “Company”) approved a reduction in workforce plan designed to reduce operating expenses by implementing an approximately 35% reduction in the current workforce and dedicated contractors across various geographies and functions. The reduction in workforce plan is intended to advance the Company’s path towards profitability and positive cash flow generation by streamlining its organizational structure, optimizing operating expenses, and preserving cash. The Company expects to recognize restructuring charges in connection with the reduction in workforce plan, including severance, outplacement services, and benefits continuation. The Company estimates that the foregoing charges will range between $6.5 million to $8.5 million, and we expect the charges will be recognized primarily in the third quarter of 2026. The majority of these charges will result in cash expenditures, and are expected to be paid by the end of the fourth quarter of 2026. The Company expects to realize annualized savings of approximately $29.0 million to $32.0 million, beginning primarily in the third quarter of 2026 and beyond.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disclosure contained in this Current Report on Form 8-K contains forward-looking statements within the meaning of Section 27A of the Securities Act of 1933, as amended, and Section 21E of the Securities Exchange Act of 1934, as amended, including statements regarding the expected savings associated with the reduction in workforce plan. These forward-looking statements are based on the Company’s current expectations and inherently involve risks and uncertainties. Further information on potential factors that could affect the Company’s business and financial results are included in the Company’s Annual Report on Form 10-K for the year ended December 31, 2025, and Quarterly Report on Form 10-Q for the period ended March 31, 2026. We do not undertake any obligation to update or revise any forward-looking statements, whether as a result of new information, future events or otherwise, except as may be required under applicable securities laws.</w:t>
      </w:r>
    </w:p>
    <w:p>
      <w:pPr>
        <w:pStyle w:val="TextBody"/>
        <w:bidi w:val="0"/>
        <w:spacing w:before="0" w:after="0"/>
        <w:ind w:left="0" w:right="0" w:firstLine="36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rPr>
        <w:t>Exhibits.</w:t>
      </w:r>
    </w:p>
    <w:tbl>
      <w:tblPr>
        <w:tblW w:w="8455"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41"/>
        <w:gridCol w:w="1941"/>
        <w:gridCol w:w="2762"/>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4"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4663" w:type="dxa"/>
        <w:jc w:val="left"/>
        <w:tblInd w:w="0" w:type="dxa"/>
        <w:tblLayout w:type="fixed"/>
        <w:tblCellMar>
          <w:top w:w="28" w:type="dxa"/>
          <w:left w:w="28" w:type="dxa"/>
          <w:bottom w:w="28" w:type="dxa"/>
          <w:right w:w="28" w:type="dxa"/>
        </w:tblCellMar>
      </w:tblPr>
      <w:tblGrid>
        <w:gridCol w:w="200"/>
        <w:gridCol w:w="177"/>
        <w:gridCol w:w="178"/>
        <w:gridCol w:w="319"/>
        <w:gridCol w:w="319"/>
        <w:gridCol w:w="321"/>
        <w:gridCol w:w="215"/>
        <w:gridCol w:w="215"/>
        <w:gridCol w:w="215"/>
        <w:gridCol w:w="732"/>
        <w:gridCol w:w="732"/>
        <w:gridCol w:w="104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9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7/27/2026</w:t>
            </w:r>
          </w:p>
        </w:tc>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5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14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BuzzFeed,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5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5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/s/ Matthew Omer</w:t>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5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 Matthew Omer</w:t>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5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731</Words>
  <Characters>4100</Characters>
  <CharactersWithSpaces>4796</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