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60" w:after="283"/>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18"/>
        </w:rPr>
        <w:t>March 31,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6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001-39877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BuzzFeed,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tbl>
      <w:tblPr>
        <w:tblW w:w="7362"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85-3022075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 West 23rd Street 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10010</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(646) 397-2039</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83"/>
        <w:gridCol w:w="2098"/>
        <w:gridCol w:w="2106"/>
        <w:gridCol w:w="394"/>
        <w:gridCol w:w="373"/>
        <w:gridCol w:w="375"/>
        <w:gridCol w:w="635"/>
        <w:gridCol w:w="635"/>
        <w:gridCol w:w="906"/>
      </w:tblGrid>
      <w:tr>
        <w:trPr/>
        <w:tc>
          <w:tcPr>
            <w:tcW w:w="268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1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6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$0.0001 par value per share</w:t>
            </w:r>
          </w:p>
        </w:tc>
        <w:tc>
          <w:tcPr>
            <w:tcW w:w="11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BZFD</w:t>
            </w:r>
          </w:p>
        </w:tc>
        <w:tc>
          <w:tcPr>
            <w:tcW w:w="2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8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Redeemable warrants, each whole warrant exercisable for one share of Class A Common Stock at an exercise price of approximately $46.00 per share</w:t>
            </w:r>
          </w:p>
        </w:tc>
        <w:tc>
          <w:tcPr>
            <w:tcW w:w="11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BZFDW</w:t>
            </w:r>
          </w:p>
        </w:tc>
        <w:tc>
          <w:tcPr>
            <w:tcW w:w="21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As of May 5, 2026, there were 36,296,018 shares of the registrant’s Class A common stock outstanding, 1,342,709 shares of the registrant’s Class B common stock outstanding and no shares of the registrant’s Class C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72" w:type="dxa"/>
        <w:jc w:val="left"/>
        <w:tblInd w:w="0" w:type="dxa"/>
        <w:tblLayout w:type="fixed"/>
        <w:tblCellMar>
          <w:top w:w="28" w:type="dxa"/>
          <w:left w:w="28" w:type="dxa"/>
          <w:bottom w:w="28" w:type="dxa"/>
          <w:right w:w="28" w:type="dxa"/>
        </w:tblCellMar>
      </w:tblPr>
      <w:tblGrid>
        <w:gridCol w:w="494"/>
        <w:gridCol w:w="433"/>
        <w:gridCol w:w="439"/>
        <w:gridCol w:w="2454"/>
        <w:gridCol w:w="2454"/>
        <w:gridCol w:w="2457"/>
        <w:gridCol w:w="158"/>
        <w:gridCol w:w="158"/>
        <w:gridCol w:w="225"/>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3">
              <w:r>
                <w:rPr>
                  <w:rStyle w:val="InternetLink"/>
                  <w:rFonts w:ascii="Times New Roman;serif" w:hAnsi="Times New Roman;serif"/>
                  <w:b/>
                  <w:color w:val="0000FF"/>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3">
              <w:r>
                <w:rPr>
                  <w:rStyle w:val="InternetLink"/>
                  <w:rFonts w:ascii="Times New Roman;serif" w:hAnsi="Times New Roman;serif"/>
                  <w:b/>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3">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6">
              <w:r>
                <w:rPr>
                  <w:rStyle w:val="InternetLink"/>
                  <w:rFonts w:ascii="Times New Roman;serif" w:hAnsi="Times New Roman;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6">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9">
              <w:r>
                <w:rPr>
                  <w:rStyle w:val="InternetLink"/>
                  <w:rFonts w:ascii="Times New Roman;serif" w:hAnsi="Times New Roman;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9">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2">
              <w:r>
                <w:rPr>
                  <w:rStyle w:val="InternetLink"/>
                  <w:rFonts w:ascii="Times New Roman;serif" w:hAnsi="Times New Roman;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2">
              <w:r>
                <w:rPr>
                  <w:rStyle w:val="InternetLink"/>
                  <w:rFonts w:ascii="Times New Roman;serif" w:hAnsi="Times New Roman;serif"/>
                  <w:b w:val="false"/>
                  <w:strike w:val="false"/>
                  <w:dstrike w:val="false"/>
                  <w:color w:val="000000"/>
                  <w:sz w:val="20"/>
                  <w:u w:val="none"/>
                  <w:effect w:val="none"/>
                </w:rPr>
                <w:t>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5">
              <w:r>
                <w:rPr>
                  <w:rStyle w:val="InternetLink"/>
                  <w:rFonts w:ascii="Times New Roman;serif" w:hAnsi="Times New Roman;serif"/>
                  <w:b w:val="false"/>
                  <w:color w:val="000080"/>
                  <w:sz w:val="20"/>
                  <w:u w:val="single"/>
                </w:rPr>
                <w:t xml:space="preserve">Condensed Consolidated Statements of Comprehensive </w:t>
              </w:r>
            </w:hyperlink>
            <w:hyperlink w:anchor="ibc17671224da4260ad325a5ae079b9fc_25">
              <w:r>
                <w:rPr>
                  <w:rStyle w:val="InternetLink"/>
                  <w:rFonts w:ascii="Times New Roman;serif" w:hAnsi="Times New Roman;serif"/>
                  <w:b w:val="false"/>
                  <w:color w:val="000080"/>
                  <w:sz w:val="20"/>
                  <w:u w:val="single"/>
                </w:rPr>
                <w:t>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5">
              <w:r>
                <w:rPr>
                  <w:rStyle w:val="InternetLink"/>
                  <w:rFonts w:ascii="Times New Roman;serif" w:hAnsi="Times New Roman;serif"/>
                  <w:b w:val="false"/>
                  <w:strike w:val="false"/>
                  <w:dstrike w:val="false"/>
                  <w:color w:val="000000"/>
                  <w:sz w:val="20"/>
                  <w:u w:val="none"/>
                  <w:effect w:val="none"/>
                </w:rPr>
                <w:t>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8">
              <w:r>
                <w:rPr>
                  <w:rStyle w:val="InternetLink"/>
                  <w:rFonts w:ascii="Times New Roman;serif" w:hAnsi="Times New Roman;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8">
              <w:r>
                <w:rPr>
                  <w:rStyle w:val="InternetLink"/>
                  <w:rFonts w:ascii="Times New Roman;serif" w:hAnsi="Times New Roman;serif"/>
                  <w:b w:val="false"/>
                  <w:strike w:val="false"/>
                  <w:dstrike w:val="false"/>
                  <w:color w:val="000000"/>
                  <w:sz w:val="20"/>
                  <w:u w:val="none"/>
                  <w:effect w:val="none"/>
                </w:rPr>
                <w:t>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31">
              <w:r>
                <w:rPr>
                  <w:rStyle w:val="InternetLink"/>
                  <w:rFonts w:ascii="Times New Roman;serif" w:hAnsi="Times New Roman;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31">
              <w:r>
                <w:rPr>
                  <w:rStyle w:val="InternetLink"/>
                  <w:rFonts w:ascii="Times New Roman;serif" w:hAnsi="Times New Roman;serif"/>
                  <w:b w:val="false"/>
                  <w:strike w:val="false"/>
                  <w:dstrike w:val="false"/>
                  <w:color w:val="000000"/>
                  <w:sz w:val="20"/>
                  <w:u w:val="none"/>
                  <w:effect w:val="none"/>
                </w:rPr>
                <w:t>9</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34">
              <w:r>
                <w:rPr>
                  <w:rStyle w:val="InternetLink"/>
                  <w:rFonts w:ascii="Times New Roman;serif" w:hAnsi="Times New Roman;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34">
              <w:r>
                <w:rPr>
                  <w:rStyle w:val="InternetLink"/>
                  <w:rFonts w:ascii="Times New Roman;serif" w:hAnsi="Times New Roman;serif"/>
                  <w:b w:val="false"/>
                  <w:strike w:val="false"/>
                  <w:dstrike w:val="false"/>
                  <w:color w:val="000000"/>
                  <w:sz w:val="20"/>
                  <w:u w:val="none"/>
                  <w:effect w:val="none"/>
                </w:rPr>
                <w:t>10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24">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24">
              <w:r>
                <w:rPr>
                  <w:rStyle w:val="InternetLink"/>
                  <w:rFonts w:ascii="Times New Roman;serif" w:hAnsi="Times New Roman;serif"/>
                  <w:b w:val="false"/>
                  <w:strike w:val="false"/>
                  <w:dstrike w:val="false"/>
                  <w:color w:val="000000"/>
                  <w:sz w:val="20"/>
                  <w:u w:val="none"/>
                  <w:effect w:val="none"/>
                </w:rPr>
                <w:t>33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84">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84">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84">
              <w:r>
                <w:rPr>
                  <w:rStyle w:val="InternetLink"/>
                  <w:rFonts w:ascii="Times New Roman;serif" w:hAnsi="Times New Roman;serif"/>
                  <w:b w:val="false"/>
                  <w:strike w:val="false"/>
                  <w:dstrike w:val="false"/>
                  <w:color w:val="000000"/>
                  <w:sz w:val="20"/>
                  <w:u w:val="none"/>
                  <w:effect w:val="none"/>
                </w:rPr>
                <w:t>48</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87">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87">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87">
              <w:r>
                <w:rPr>
                  <w:rStyle w:val="InternetLink"/>
                  <w:rFonts w:ascii="Times New Roman;serif" w:hAnsi="Times New Roman;serif"/>
                  <w:b w:val="false"/>
                  <w:strike w:val="false"/>
                  <w:dstrike w:val="false"/>
                  <w:color w:val="000000"/>
                  <w:sz w:val="20"/>
                  <w:u w:val="none"/>
                  <w:effect w:val="none"/>
                </w:rPr>
                <w:t>49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90">
              <w:r>
                <w:rPr>
                  <w:rStyle w:val="InternetLink"/>
                  <w:rFonts w:ascii="Times New Roman;serif" w:hAnsi="Times New Roman;serif"/>
                  <w:b/>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90">
              <w:r>
                <w:rPr>
                  <w:rStyle w:val="InternetLink"/>
                  <w:rFonts w:ascii="Times New Roman;serif" w:hAnsi="Times New Roman;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90">
              <w:r>
                <w:rPr>
                  <w:rStyle w:val="InternetLink"/>
                  <w:rFonts w:ascii="Times New Roman;serif" w:hAnsi="Times New Roman;serif"/>
                  <w:b w:val="false"/>
                  <w:strike w:val="false"/>
                  <w:dstrike w:val="false"/>
                  <w:color w:val="000000"/>
                  <w:sz w:val="20"/>
                  <w:u w:val="none"/>
                  <w:effect w:val="none"/>
                </w:rPr>
                <w:t>50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93">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93">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93">
              <w:r>
                <w:rPr>
                  <w:rStyle w:val="InternetLink"/>
                  <w:rFonts w:ascii="Times New Roman;serif" w:hAnsi="Times New Roman;serif"/>
                  <w:b w:val="false"/>
                  <w:strike w:val="false"/>
                  <w:dstrike w:val="false"/>
                  <w:color w:val="000000"/>
                  <w:sz w:val="20"/>
                  <w:u w:val="none"/>
                  <w:effect w:val="none"/>
                </w:rPr>
                <w:t>50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96">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196">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196">
              <w:r>
                <w:rPr>
                  <w:rStyle w:val="InternetLink"/>
                  <w:rFonts w:ascii="Times New Roman;serif" w:hAnsi="Times New Roman;serif"/>
                  <w:b w:val="false"/>
                  <w:strike w:val="false"/>
                  <w:dstrike w:val="false"/>
                  <w:color w:val="000000"/>
                  <w:sz w:val="20"/>
                  <w:u w:val="none"/>
                  <w:effect w:val="none"/>
                </w:rPr>
                <w:t>50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02">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02">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02">
              <w:r>
                <w:rPr>
                  <w:rStyle w:val="InternetLink"/>
                  <w:rFonts w:ascii="Times New Roman;serif" w:hAnsi="Times New Roman;serif"/>
                  <w:b w:val="false"/>
                  <w:strike w:val="false"/>
                  <w:dstrike w:val="false"/>
                  <w:color w:val="000000"/>
                  <w:sz w:val="20"/>
                  <w:u w:val="none"/>
                  <w:effect w:val="none"/>
                </w:rPr>
                <w:t>53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05">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05">
              <w:r>
                <w:rPr>
                  <w:rStyle w:val="InternetLink"/>
                  <w:rFonts w:ascii="Times New Roman;serif" w:hAnsi="Times New Roman;serif"/>
                  <w:b w:val="false"/>
                  <w:color w:val="0000FF"/>
                  <w:sz w:val="20"/>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05">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08">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08">
              <w:r>
                <w:rPr>
                  <w:rStyle w:val="InternetLink"/>
                  <w:rFonts w:ascii="Times New Roman;serif" w:hAnsi="Times New Roman;serif"/>
                  <w:b w:val="false"/>
                  <w:color w:val="0000FF"/>
                  <w:sz w:val="20"/>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08">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11">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11">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11">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17">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17">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17">
              <w:r>
                <w:rPr>
                  <w:rStyle w:val="InternetLink"/>
                  <w:rFonts w:ascii="Times New Roman;serif" w:hAnsi="Times New Roman;serif"/>
                  <w:b w:val="false"/>
                  <w:strike w:val="false"/>
                  <w:dstrike w:val="false"/>
                  <w:color w:val="000000"/>
                  <w:sz w:val="20"/>
                  <w:u w:val="none"/>
                  <w:effect w:val="none"/>
                </w:rPr>
                <w:t>55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7671224da4260ad325a5ae079b9fc_220">
              <w:r>
                <w:rPr>
                  <w:rStyle w:val="InternetLink"/>
                  <w:rFonts w:ascii="Times New Roman;serif" w:hAnsi="Times New Roman;serif"/>
                  <w:b/>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c17671224da4260ad325a5ae079b9fc_220">
              <w:r>
                <w:rPr>
                  <w:rStyle w:val="InternetLink"/>
                  <w:rFonts w:ascii="Times New Roman;serif" w:hAnsi="Times New Roman;serif"/>
                  <w:b w:val="false"/>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developments relating to our competitors and the digital media industry, including overall demand of advertising in the markets in which we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demand for our products and services or changes in traffic or engagement with our brands and content;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business and competitive environment in which we and our current and prospective partners and advertisers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macroeconomic factors including: adverse economic conditions in the United States (“U.S.”) and globally, including the potential onset of recession; current global supply chain disruptions; actual or potential government shutdowns or a failure to raise the U.S. federal debt ceiling or to fund the federal government; the ongoing conflicts in the Middle East and between Russia and Ukraine and any related sanctions and geopolitical tensions, and further escalation of trade tensions between the U.S. and its trading partners; tariffs; the inflationary environment; high unemployment; high interest rates, currency fluctuations; and the competitive labor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future capital requirements, including, but not limited to, our ability to obtain additional capital in the future, any restrictions imposed by, or commitments under, agreements governing any future indebtedness, and any restrictions on our ability to access our cash and cash equivalents;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developments in the law and government regulation, including, but not limited to, revised foreign content and ownership regulations, and the outcomes of legal proceedings, regulatory disputes, or governmental investigations to which we are subject;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benefits of our cost savings measures;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divesting of companies, assets, or brands we sell, or in integrating and supporting the companies we acquire;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in launching new products or platforms, including any new social media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technological developments including artificial intelligence (“AI”);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success in retaining or recruiting, or changes required in, officers, other key employees, or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content creators and on-camera talent and relationships with third parties managing certain of our branded operations outside of the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security of certain of our information technology (“IT”) systems or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disruption in our service, or by our failure to timely and effectively scale and adapt our existing technology and infrastructure;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maintain the listing of our Class A common stock and warrants on The Nasdaq Capital Market LLC (“Nasdaq”);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related to the Company’s liquidity and cash flow, including the ability of the Company to comply with debt service requirements and covenants contained in its credit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related to the Stock Purchase Agreement and Director Appointment Agreement entered into by the Company with Allen Family Digital, LLC, including potentially adverse impacts on our business, results of operations, and stock price;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other factors detailed under the section entitled “Risk Factors” in our Annual Report on Form 10-K for the year ended December 31, 2025, and this Quarterly Report on Form 10-Q.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in our Annual Report on Form 10-K for the year ended December 31, 2025, and this Quarterly Report on Form 10-Q. These and other factors could cause results to differ materially from those expressed in these publications and reports.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BUZZFEED,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CONDENSED CONSOLIDATED BALANCE SHEETS </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Dollars and shares in thousands, except per share amounts</w:t>
      </w:r>
      <w:r>
        <w:rPr>
          <w:rFonts w:ascii="Times New Roman;serif" w:hAnsi="Times New Roman;serif"/>
          <w:b w:val="false"/>
          <w:color w:val="000000"/>
          <w:sz w:val="16"/>
        </w:rPr>
        <w:t>)</w:t>
      </w:r>
    </w:p>
    <w:tbl>
      <w:tblPr>
        <w:tblW w:w="10205" w:type="dxa"/>
        <w:jc w:val="center"/>
        <w:tblInd w:w="0" w:type="dxa"/>
        <w:tblLayout w:type="fixed"/>
        <w:tblCellMar>
          <w:top w:w="28" w:type="dxa"/>
          <w:left w:w="28" w:type="dxa"/>
          <w:bottom w:w="28" w:type="dxa"/>
          <w:right w:w="28" w:type="dxa"/>
        </w:tblCellMar>
      </w:tblPr>
      <w:tblGrid>
        <w:gridCol w:w="2861"/>
        <w:gridCol w:w="2378"/>
        <w:gridCol w:w="2360"/>
        <w:gridCol w:w="214"/>
        <w:gridCol w:w="823"/>
        <w:gridCol w:w="119"/>
        <w:gridCol w:w="109"/>
        <w:gridCol w:w="109"/>
        <w:gridCol w:w="109"/>
        <w:gridCol w:w="199"/>
        <w:gridCol w:w="764"/>
        <w:gridCol w:w="160"/>
      </w:tblGrid>
      <w:tr>
        <w:trPr/>
        <w:tc>
          <w:tcPr>
            <w:tcW w:w="2861"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$527 and $683 as at March 31,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costs,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Film costs,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169,110</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188,139</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132,348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138,054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700,000 shares authorized; 38,123 and 37,857 shares issued; 36,296 and 36,030 shares outstanding at March 31,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20,000 shares authorized; 1,343 and 1,343 shares issued and outstanding at March 31,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1,827 and 1,827 shares at March 31,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737,535 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735,992 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(694,669)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(679,588)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BuzzFeed, Inc.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36,762 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50,085 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169,110</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188,139</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pPr>
      <w:r>
        <w:rPr>
          <w:rFonts w:ascii="Times New Roman;serif" w:hAnsi="Times New Roman;serif"/>
          <w:b w:val="false"/>
          <w:i/>
          <w:color w:val="000000"/>
          <w:sz w:val="20"/>
        </w:rPr>
        <w:t>(Unaudited, dollars and shares</w:t>
      </w:r>
      <w:r>
        <w:rPr>
          <w:color w:val="000000"/>
        </w:rPr>
        <w:t xml:space="preserve"> </w:t>
      </w:r>
      <w:r>
        <w:rPr>
          <w:rFonts w:ascii="Times New Roman;serif" w:hAnsi="Times New Roman;serif"/>
          <w:b w:val="false"/>
          <w:i/>
          <w:color w:val="000000"/>
          <w:sz w:val="20"/>
        </w:rPr>
        <w:t>in thousands, except per share amounts</w:t>
      </w:r>
      <w:r>
        <w:rPr>
          <w:rFonts w:ascii="Times New Roman;serif" w:hAnsi="Times New Roman;serif"/>
          <w:b w:val="false"/>
          <w:color w:val="000000"/>
          <w:sz w:val="20"/>
        </w:rPr>
        <w:t>)</w:t>
      </w:r>
    </w:p>
    <w:tbl>
      <w:tblPr>
        <w:tblW w:w="7799" w:type="dxa"/>
        <w:jc w:val="left"/>
        <w:tblInd w:w="0" w:type="dxa"/>
        <w:tblLayout w:type="fixed"/>
        <w:tblCellMar>
          <w:top w:w="28" w:type="dxa"/>
          <w:left w:w="28" w:type="dxa"/>
          <w:bottom w:w="28" w:type="dxa"/>
          <w:right w:w="28" w:type="dxa"/>
        </w:tblCellMar>
      </w:tblPr>
      <w:tblGrid>
        <w:gridCol w:w="1777"/>
        <w:gridCol w:w="1558"/>
        <w:gridCol w:w="1585"/>
        <w:gridCol w:w="197"/>
        <w:gridCol w:w="727"/>
        <w:gridCol w:w="110"/>
        <w:gridCol w:w="110"/>
        <w:gridCol w:w="110"/>
        <w:gridCol w:w="110"/>
        <w:gridCol w:w="197"/>
        <w:gridCol w:w="727"/>
        <w:gridCol w:w="110"/>
        <w:gridCol w:w="109"/>
        <w:gridCol w:w="109"/>
        <w:gridCol w:w="109"/>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36,021 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 excluding depreciation and amortization</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costs and expenses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45,048 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49,763 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operations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(13,476)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 liabilities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Loss before income taxes </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(15,258)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(12,381)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(12,461)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income attributable to noncontrolling interests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BuzzFeed, Inc.</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(15,081)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holders of Class A and Class B common stock:</w:t>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(15,081)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Class A and Class B common share:</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8444" w:type="dxa"/>
        <w:jc w:val="left"/>
        <w:tblInd w:w="0" w:type="dxa"/>
        <w:tblLayout w:type="fixed"/>
        <w:tblCellMar>
          <w:top w:w="28" w:type="dxa"/>
          <w:left w:w="28" w:type="dxa"/>
          <w:bottom w:w="28" w:type="dxa"/>
          <w:right w:w="28" w:type="dxa"/>
        </w:tblCellMar>
      </w:tblPr>
      <w:tblGrid>
        <w:gridCol w:w="2010"/>
        <w:gridCol w:w="1758"/>
        <w:gridCol w:w="1797"/>
        <w:gridCol w:w="197"/>
        <w:gridCol w:w="727"/>
        <w:gridCol w:w="110"/>
        <w:gridCol w:w="110"/>
        <w:gridCol w:w="110"/>
        <w:gridCol w:w="110"/>
        <w:gridCol w:w="197"/>
        <w:gridCol w:w="727"/>
        <w:gridCol w:w="110"/>
        <w:gridCol w:w="109"/>
        <w:gridCol w:w="109"/>
        <w:gridCol w:w="109"/>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(12,461)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(14,866)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(12,015)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income attributable to noncontrolling interests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 attributable to noncontrolling interests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attributable to BuzzFeed, Inc.</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(14,788)</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(12,343)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5937" w:type="dxa"/>
        <w:jc w:val="center"/>
        <w:tblInd w:w="0" w:type="dxa"/>
        <w:tblLayout w:type="fixed"/>
        <w:tblCellMar>
          <w:top w:w="28" w:type="dxa"/>
          <w:left w:w="28" w:type="dxa"/>
          <w:bottom w:w="28" w:type="dxa"/>
          <w:right w:w="28" w:type="dxa"/>
        </w:tblCellMar>
      </w:tblPr>
      <w:tblGrid>
        <w:gridCol w:w="701"/>
        <w:gridCol w:w="234"/>
        <w:gridCol w:w="236"/>
        <w:gridCol w:w="323"/>
        <w:gridCol w:w="323"/>
        <w:gridCol w:w="196"/>
        <w:gridCol w:w="109"/>
        <w:gridCol w:w="109"/>
        <w:gridCol w:w="109"/>
        <w:gridCol w:w="248"/>
        <w:gridCol w:w="305"/>
        <w:gridCol w:w="138"/>
        <w:gridCol w:w="109"/>
        <w:gridCol w:w="109"/>
        <w:gridCol w:w="109"/>
        <w:gridCol w:w="278"/>
        <w:gridCol w:w="278"/>
        <w:gridCol w:w="196"/>
        <w:gridCol w:w="109"/>
        <w:gridCol w:w="109"/>
        <w:gridCol w:w="109"/>
        <w:gridCol w:w="248"/>
        <w:gridCol w:w="305"/>
        <w:gridCol w:w="138"/>
        <w:gridCol w:w="109"/>
        <w:gridCol w:w="109"/>
        <w:gridCol w:w="109"/>
        <w:gridCol w:w="109"/>
        <w:gridCol w:w="109"/>
        <w:gridCol w:w="766"/>
        <w:gridCol w:w="109"/>
        <w:gridCol w:w="196"/>
        <w:gridCol w:w="571"/>
        <w:gridCol w:w="109"/>
        <w:gridCol w:w="109"/>
        <w:gridCol w:w="109"/>
        <w:gridCol w:w="109"/>
        <w:gridCol w:w="197"/>
        <w:gridCol w:w="743"/>
        <w:gridCol w:w="111"/>
        <w:gridCol w:w="109"/>
        <w:gridCol w:w="109"/>
        <w:gridCol w:w="109"/>
        <w:gridCol w:w="217"/>
        <w:gridCol w:w="832"/>
        <w:gridCol w:w="122"/>
        <w:gridCol w:w="109"/>
        <w:gridCol w:w="109"/>
        <w:gridCol w:w="109"/>
        <w:gridCol w:w="238"/>
        <w:gridCol w:w="694"/>
        <w:gridCol w:w="134"/>
        <w:gridCol w:w="109"/>
        <w:gridCol w:w="109"/>
        <w:gridCol w:w="109"/>
        <w:gridCol w:w="247"/>
        <w:gridCol w:w="815"/>
        <w:gridCol w:w="139"/>
        <w:gridCol w:w="109"/>
        <w:gridCol w:w="109"/>
        <w:gridCol w:w="109"/>
        <w:gridCol w:w="287"/>
        <w:gridCol w:w="618"/>
        <w:gridCol w:w="161"/>
        <w:gridCol w:w="327"/>
        <w:gridCol w:w="196"/>
        <w:gridCol w:w="64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0" w:type="dxa"/>
            <w:gridSpan w:val="5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2716"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735,992 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(679,588)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(15,081)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38,123 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737,535 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(694,669)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(3,422)</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36,116 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15154" w:type="dxa"/>
        <w:jc w:val="left"/>
        <w:tblInd w:w="0" w:type="dxa"/>
        <w:tblLayout w:type="fixed"/>
        <w:tblCellMar>
          <w:top w:w="28" w:type="dxa"/>
          <w:left w:w="28" w:type="dxa"/>
          <w:bottom w:w="28" w:type="dxa"/>
          <w:right w:w="28" w:type="dxa"/>
        </w:tblCellMar>
      </w:tblPr>
      <w:tblGrid>
        <w:gridCol w:w="701"/>
        <w:gridCol w:w="234"/>
        <w:gridCol w:w="236"/>
        <w:gridCol w:w="323"/>
        <w:gridCol w:w="323"/>
        <w:gridCol w:w="203"/>
        <w:gridCol w:w="109"/>
        <w:gridCol w:w="109"/>
        <w:gridCol w:w="109"/>
        <w:gridCol w:w="248"/>
        <w:gridCol w:w="305"/>
        <w:gridCol w:w="138"/>
        <w:gridCol w:w="109"/>
        <w:gridCol w:w="109"/>
        <w:gridCol w:w="109"/>
        <w:gridCol w:w="278"/>
        <w:gridCol w:w="278"/>
        <w:gridCol w:w="196"/>
        <w:gridCol w:w="109"/>
        <w:gridCol w:w="109"/>
        <w:gridCol w:w="109"/>
        <w:gridCol w:w="248"/>
        <w:gridCol w:w="305"/>
        <w:gridCol w:w="138"/>
        <w:gridCol w:w="109"/>
        <w:gridCol w:w="109"/>
        <w:gridCol w:w="109"/>
        <w:gridCol w:w="109"/>
        <w:gridCol w:w="109"/>
        <w:gridCol w:w="871"/>
        <w:gridCol w:w="109"/>
        <w:gridCol w:w="109"/>
        <w:gridCol w:w="109"/>
        <w:gridCol w:w="197"/>
        <w:gridCol w:w="743"/>
        <w:gridCol w:w="111"/>
        <w:gridCol w:w="109"/>
        <w:gridCol w:w="109"/>
        <w:gridCol w:w="109"/>
        <w:gridCol w:w="217"/>
        <w:gridCol w:w="832"/>
        <w:gridCol w:w="122"/>
        <w:gridCol w:w="109"/>
        <w:gridCol w:w="109"/>
        <w:gridCol w:w="109"/>
        <w:gridCol w:w="238"/>
        <w:gridCol w:w="694"/>
        <w:gridCol w:w="134"/>
        <w:gridCol w:w="109"/>
        <w:gridCol w:w="109"/>
        <w:gridCol w:w="109"/>
        <w:gridCol w:w="226"/>
        <w:gridCol w:w="849"/>
        <w:gridCol w:w="126"/>
        <w:gridCol w:w="109"/>
        <w:gridCol w:w="109"/>
        <w:gridCol w:w="109"/>
        <w:gridCol w:w="242"/>
        <w:gridCol w:w="688"/>
        <w:gridCol w:w="136"/>
        <w:gridCol w:w="109"/>
        <w:gridCol w:w="109"/>
        <w:gridCol w:w="109"/>
        <w:gridCol w:w="196"/>
        <w:gridCol w:w="73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4" w:type="dxa"/>
            <w:gridSpan w:val="54"/>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2025</w:t>
            </w:r>
          </w:p>
        </w:tc>
        <w:tc>
          <w:tcPr>
            <w:tcW w:w="2479" w:type="dxa"/>
            <w:gridSpan w:val="9"/>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730,369 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(621,864)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104,774 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(12,461)</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1,377</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446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at-the-market offering, net of issuance costs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37,182 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731,734 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(634,535)</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(3,407)</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93,796 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8064" w:type="dxa"/>
        <w:jc w:val="center"/>
        <w:tblInd w:w="0" w:type="dxa"/>
        <w:tblLayout w:type="fixed"/>
        <w:tblCellMar>
          <w:top w:w="28" w:type="dxa"/>
          <w:left w:w="28" w:type="dxa"/>
          <w:bottom w:w="28" w:type="dxa"/>
          <w:right w:w="28" w:type="dxa"/>
        </w:tblCellMar>
      </w:tblPr>
      <w:tblGrid>
        <w:gridCol w:w="2035"/>
        <w:gridCol w:w="1788"/>
        <w:gridCol w:w="1802"/>
        <w:gridCol w:w="197"/>
        <w:gridCol w:w="727"/>
        <w:gridCol w:w="109"/>
        <w:gridCol w:w="109"/>
        <w:gridCol w:w="109"/>
        <w:gridCol w:w="109"/>
        <w:gridCol w:w="197"/>
        <w:gridCol w:w="727"/>
        <w:gridCol w:w="155"/>
      </w:tblGrid>
      <w:tr>
        <w:trPr/>
        <w:tc>
          <w:tcPr>
            <w:tcW w:w="2035"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Adjustments to reconcile net loss to cash provided by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Unrealized loss (gain) foreign currency</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(501)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Stock-based compensation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Change in fair value of warrants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(1,234)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Amortization of debt discount and deferred issuance costs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546 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13,131 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 and prepaid expenses and other assets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(3,163)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Film costs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(6,886)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 xml:space="preserve">Accrued expenses, other current liabilities, and other liabilities </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Lease liabilities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(5,952)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1,663 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operating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1,344 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internal-use software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(3,128)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combination, net of cash acquired</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investing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(3,449)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from film financing arrangements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Convertible Notes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consent solicitation fees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film financing arrangements for feature films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Term Loan's debt issuance / modification costs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Payment for shares withheld for employee taxes </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at-the-market offering issuance costs, net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financing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(2,454)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 on cash and cash equivalents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(4,322)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38,648 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period</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34,326 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20"/>
        </w:rPr>
        <w:t>The accompanying notes are an integral part of these condensed consolidated financial statements</w:t>
      </w:r>
      <w:r>
        <w:rPr>
          <w:rFonts w:ascii="Times New Roman;serif" w:hAnsi="Times New Roman;serif"/>
          <w:b w:val="false"/>
          <w:i/>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tabular amounts and shares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Description of the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 Inc. (referred to herein, collectively with its subsidiaries, as “BuzzFeed,” the “Company,” “our,” “us,” or “we”) is a premier digital media company. Across pop culture, entertainment, shopping, food, and news, our brands drive conversation and inspire what audiences watch, read, and buy now — and into the future. The Company’s iconic, globally-loved brands include BuzzFeed, HuffPost, and Tasty. BuzzFeed derives its revenue primarily from advertising, content, and commerce and other sold to leading brands. The Company has one reportable segment.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The Company repurchased approximately $120.0 million of the Notes in 2024 and the remaining $30.0 million of Notes in 2025, resulting in the full redemption of the Notes. Refer to Note 8 herein for additional details.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Going Concern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our cash and cash equivalents and cash generated from operations. Our cash and cash equivalents consist of demand deposits with financial institutions and investments in money market funds.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 The presence of the following risks and uncertainties associated with the Company’s financial condition may adversely affect the Company’s ability to sustain its operations over the next 12 months beyond the issuance date.</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its inception, the Company has generally incurred significant losses and used cash flows from operations to grow its owned and operated properties and its iconic brands. During the three months ended March 31, 2026, the Company incurred a net loss of $15.1 million and generated cash flows from operations of $2.7 million. Additionally, as of March 31, 2026, the Company had unrestricted cash and cash equivalents of $6.8 million and an accumulated deficit of $694.7 million.</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current restricted cash balance of $15.8 million relates to funds held in Company-owned deposit accounts that are pledged as collateral for the Company’s existing letters of credit for certain office lease arrangements and, upon the expiration of certain of these letters of credit, approximately $15.0 million is required to be paid to our lenders under the Credit Agreement (as defined within Note 8 herein), which also includes a $5.0 million minimum cash covenant ($3.5 million through April 30, 2026, as discussed within Note 8 herein).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in Note 8 herein, in May 2025, the Company secured a $40.0 million asset-backed Term Loan (as amended, and as defined within Note 8 herein) and used a portion of the proceeds to repay, in full, the Notes. In August 2025, the Company received an incremental $5.0 million under the Second Amended Credit Agreement (as defined within Note 8 herein), which was due on February 20, 2026 (as extended to April 30, 2026, and further extended to May 18, 2026, as discussed within Notes 8 and 19 herein).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further disclosed in Note 14 herein, the Company’s Class A common stock experienced a significant decline whereby the trading price remained below $1.00 per share for a sustained period, and has continued to remain below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issuance date. However, in order to remain in compliance with Nasdaq market listing requirements, the Company’s Class A common stock price must exceed $1.00 per share for a specified minimum period (i.e., at least 10 consecutive business days). As a result of the decline in its stock price, the Company received a notice of noncompliance from Nasdaq on March 2, 2026, notifying the Company that it had until August 31, 2026 to regain compliance. If the Company is not able to regain compliance and, as such, the Company’s Class A common stock is delisted from Nasdaq, the Company will be faced with a number of significant material adverse consequences, including limited availability of market quotations for its Class A common stock; limited news and analyst coverage; decreased ability to obtain additional financing or failure to comply with the covenants required by any indebtedness; limited liquidity for its stockholders due to thin trading; and a potential loss of confidence by investors, employees, and other third parties who do business with the Company.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conditions and events raise substantial doubt about the Company’s ability to continue as a going concern.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address its capital needs, the Company may explore options to restructure its outstanding debt, and is working to optimize its condensed consolidated balance sheet. As described in Note 19 herein, on May 11, 2026, the Company entered into a Stock Purchase Agreement with an investor for the sale of 40,000,000 shares of the Company's Class A common stock. The aggregate consideration of $3.00 per share payable by the Investor is comprised of (i) $20.0 million in cash to be paid to the Company at the closing of the transaction, and (ii) a five-year secured promissory note in the principal amount of $100.0 million to be issued to the Company at the closing of the transaction. While the transaction contemplated by the Stock Purchase Agreement is expected to close prior to the end of May 2026, the Company can provide no assurance that the closing will occur on the expected timeline, or at all. Refer to Note 19 herein for additional details.</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can provide no assurance that it will generate sufficient cash inflows from operations, that it will be successful in obtaining new financing, or that it will be able to optimize its condensed consolidated balance sheet in a manner necessary to fund its obligations as they become due over the next 12 months beyond the issuance date. Additionally, the Company may implement incremental cost savings actions and pursue additional sources of outside capital to supplement its funding obligations as they become due, which includes additional offerings of its Class A common stock under the at-the-market offering (refer to Note 9 herein for additional details). However, as of the issuance date, no additional sources of outside capital have been secured or were deemed probable of being secured, other than the Company’s at-the-market offering, which is subject to the conditions contained in the At-The-Market Offering agreement dated June 20, 2023 with Craig-Hallum Capital Group LLC, and the Company’s Stock Purchase Agreement with Allen Family Digital, LLC, which is discussed further in Note 19 herein. The Company can provide no assurance it will successfully generate sufficient liquidity to fund its operations for the next 12 months beyond the issuance date, or if necessary, secure additional outside capital (including through the Company’s at-the-market offering) or implement incremental cost savings.</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on an ongoing basis, the Company is evaluating strategic changes to its operations, including asset divestitures, restructuring,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As of the issuance date, the Company continues to work on optimizing its condensed consolidated balance sheet and evaluating its assets.</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Company’s liquidity position as of March 31, 2026 and the current forecast of operating results and cash flows, in the absence of any of the above-described plans to address our capital needs, the Company anticipates that it will not have sufficient resources to fund its cash obligations for the next 12 months following the issuance date. In addition, the Company has concluded that the above-described plans do not alleviate substantial doubt about the Company’s ability to continue as a going concern.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do not include any adjustments relating to the recoverability and classification of recorded assets or the amounts and classification of liabilities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Financial Statements and Principles of Consolidation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U.S. GAAP and applicable rules and regulations of the Securities and Exchange Commission regarding interim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reporting. Certain information and note disclosures normally included in the financial statements prepared in accordance with U.S.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2025, as disclosed in the Company’s Annual Report on Form 10-K for the year ended December 31,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BuzzFeed, Inc., and its wholly-owned and majority-owned subsidiaries. All intercompany balances and transactions have been eliminated in consolidation.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estimates and assumptions relate primarily to revenue recognition, valuation allowances for deferred income tax assets, allowance for credit losses, useful lives of tangible and intangible assets, impairment of long-lived assets and goodwill, ultimate revenue used for the amortization of capitalized film costs and accruals of investor costs and participations, and capitalized software costs.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classifies all cash, the use of which is limited by contractual provisions, as restricted cash. Restricted cash primarily includes cash that is held as collateral for certain lease agreements which affect the amount of cash the Company has available for other uses. As of March 31, 2026 and December 31, 2025, restricted cash totaled $19.3 million and $19.3 million, respectively.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which provides a practical expedient to measure credit losses on current accounts receivable and contract assets. The practical expedient allows entities to assume that current conditions as of the balance sheet date do not change for the remaining life of the asset. This ASU is effective for annual reporting periods beginning after December 15, 2025, and interim reporting periods within those annual reporting periods. The Company adopted this standard for the three months ended March 31, 2026. The adoption of this standard did not have a material impact to the Company’s condensed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Disaggregation of Income Statement Expenses,” which requires companies to disclose disaggregated information of certain expense captions presented on the face of the income statement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continuing operations that include following expense categories, as applicable: (1) purchases of inventory, (2) employee compensation, (3) depreciation, (4) intangible amortization, and (5) depreciation, depletion, and amortization (“DD&amp;A”) recognized as part of oil-and gas-producing activities. This ASU is effective for annual reporting periods beginning after December 15, 2026, and interim reporting periods beginning after December 15, 2027. Companies have the option to apply the guidance either on a retrospective or prospective basis, and early adoption is permitted. The Company is currently evaluating the impact of adopting this guidance on its condensed consolidated financial statements.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which is intended to improve the operability and application of guidance related to capitalized software development costs. This ASU is effective for all entities for annual reporting periods beginning after December 15, 2027, and interim reporting periods within those annual reporting periods. Early adoption is permitted in an interim or annual reporting period; however, if adopted in an interim period, it must be applied from the beginning of the related annual reporting period. The Company is currently evaluating the impact of adopting this guidance on its condensed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2025-10, “Government Grants (Topic 832): Accounting for Government Grants Received by Business Entities,” which establishes authoritative guidance on the recognition, measurement, and presentation of a government grant received by a business entity. Under ASU 2025-10, government grants are recognized when it is probable that the business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For public business entities, this ASU is effective for fiscal years beginning after December 15, 2028, and interim reporting periods within those annual reporting periods. Early adoption is permitted. The Company is currently evaluating the impact of adopting this guidance on its condensed consolidated financial statements.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which is intended to improve the navigability of the guidance in ASC 270 and clarify when it applies. ASU 2025-11 also adds lists to ASC 270 of the interim disclosures required by all other codification topics, and establishes a principle under which an entity must disclose events since the end of the last annual reporting period that have a material impact on the entity. The amendments are effective for public business entities for interim reporting periods within annual reporting periods beginning after December 15, 2027. Early adoption is permitted, and the guidance can be applied prospectively or retrospectively. The Company is currently evaluating the impact of adopting this guidance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Company’s revenue disaggregated based on the nature of its arrangements. Management uses these categories of revenue to evaluate the performance of its businesses and to assess its financial results and forecasts.</w:t>
      </w:r>
    </w:p>
    <w:tbl>
      <w:tblPr>
        <w:tblW w:w="4690" w:type="dxa"/>
        <w:jc w:val="left"/>
        <w:tblInd w:w="0" w:type="dxa"/>
        <w:tblLayout w:type="fixed"/>
        <w:tblCellMar>
          <w:top w:w="28" w:type="dxa"/>
          <w:left w:w="28" w:type="dxa"/>
          <w:bottom w:w="28" w:type="dxa"/>
          <w:right w:w="28" w:type="dxa"/>
        </w:tblCellMar>
      </w:tblPr>
      <w:tblGrid>
        <w:gridCol w:w="651"/>
        <w:gridCol w:w="573"/>
        <w:gridCol w:w="576"/>
        <w:gridCol w:w="211"/>
        <w:gridCol w:w="721"/>
        <w:gridCol w:w="109"/>
        <w:gridCol w:w="109"/>
        <w:gridCol w:w="109"/>
        <w:gridCol w:w="109"/>
        <w:gridCol w:w="211"/>
        <w:gridCol w:w="721"/>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geography:</w:t>
      </w:r>
    </w:p>
    <w:tbl>
      <w:tblPr>
        <w:tblW w:w="4089" w:type="dxa"/>
        <w:jc w:val="left"/>
        <w:tblInd w:w="0" w:type="dxa"/>
        <w:tblLayout w:type="fixed"/>
        <w:tblCellMar>
          <w:top w:w="28" w:type="dxa"/>
          <w:left w:w="28" w:type="dxa"/>
          <w:bottom w:w="28" w:type="dxa"/>
          <w:right w:w="28" w:type="dxa"/>
        </w:tblCellMar>
      </w:tblPr>
      <w:tblGrid>
        <w:gridCol w:w="433"/>
        <w:gridCol w:w="382"/>
        <w:gridCol w:w="384"/>
        <w:gridCol w:w="211"/>
        <w:gridCol w:w="721"/>
        <w:gridCol w:w="109"/>
        <w:gridCol w:w="109"/>
        <w:gridCol w:w="109"/>
        <w:gridCol w:w="109"/>
        <w:gridCol w:w="211"/>
        <w:gridCol w:w="721"/>
        <w:gridCol w:w="109"/>
        <w:gridCol w:w="109"/>
        <w:gridCol w:w="109"/>
        <w:gridCol w:w="109"/>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can result in billed accounts receivable, unbilled receivables, unbilled revenue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and payment is conditional on something other than the passage of time) or deferred revenue (customer payment is received in advance of performance). The Company records an unbilled receivable when revenue is recognized and it has an unconditional right to consideration and only the passage of time is required to receive the consideration. Unbilled receivables are presented within accounts receivable, net of allowance for credit losses, within the condensed consolidated balance sheets. In addition, the Company determined its contracts generally do not include a significant financing component.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are presented in prepaid and other current assets on the accompanying condensed consolidated balance sheets and totaled $7.6 million and $7.5 million as of March 31, 2026 and December 31, 2025, respectively. These amounts relate to revenue recognized during the respective period that is expected to be invoiced and collected in future periods.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 liabilities, which are recorded in deferred revenue on the accompanying condensed consolidated balance sheets, are expected to be recognized as revenues during the succeeding 12-month period. Deferred revenue totaled $6.5 million and $7.4 million as of March 31, 2026 and December 31, 2025, respectively. The amount of revenue recognized during the three months ended March 31, 2026 that was included in the deferred revenue balance as of December 31, 2025 was $1.7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Variable Consideration</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measured at fair value on a recurring basis are summarized below:</w:t>
      </w:r>
    </w:p>
    <w:tbl>
      <w:tblPr>
        <w:tblW w:w="6900" w:type="dxa"/>
        <w:jc w:val="left"/>
        <w:tblInd w:w="0" w:type="dxa"/>
        <w:tblLayout w:type="fixed"/>
        <w:tblCellMar>
          <w:top w:w="28" w:type="dxa"/>
          <w:left w:w="28" w:type="dxa"/>
          <w:bottom w:w="28" w:type="dxa"/>
          <w:right w:w="28" w:type="dxa"/>
        </w:tblCellMar>
      </w:tblPr>
      <w:tblGrid>
        <w:gridCol w:w="843"/>
        <w:gridCol w:w="744"/>
        <w:gridCol w:w="753"/>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00" w:type="dxa"/>
        <w:jc w:val="left"/>
        <w:tblInd w:w="0" w:type="dxa"/>
        <w:tblLayout w:type="fixed"/>
        <w:tblCellMar>
          <w:top w:w="28" w:type="dxa"/>
          <w:left w:w="28" w:type="dxa"/>
          <w:bottom w:w="28" w:type="dxa"/>
          <w:right w:w="28" w:type="dxa"/>
        </w:tblCellMar>
      </w:tblPr>
      <w:tblGrid>
        <w:gridCol w:w="843"/>
        <w:gridCol w:w="744"/>
        <w:gridCol w:w="753"/>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money market funds are measured at fair value using quoted prices for identical investments in active markets (i.e., Level 1). Due to the short-term nature of these investments, the carrying value approximates fair value. The difference between the total amount of funds held in money market accounts and the total restricted cash balances on the condensed consolidated balance sheets relates to interest that is unrestricted.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warrant liability as of March 31, 2026 and December 31, 2025 includes public and private placement warrants that were originally issued by 890, but which were assumed by the Company in connection with the closing of the Business Combination (the “Public Warrants” and “Private Placement Warrants,” respectively, or together, the “Public and Private Placement Warrants”). The Public and Private Placement Warrants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$0.01 and $0.03 as of March 31, 2026 and December 31, 2025,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warrant liability was classified as a current liability, included within other current liabilities within the accompanying condensed consolidated balance sheets, as the expiration date of the warrants is less than one year as of both March 31, 2026 and December 31,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 levels during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Equity Investment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equity investments in entities over which the Company does not exercise significant influence,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an investment in equity securities of a privately-held company without a readily determinable fair value. The total carrying value of the investment, included in prepaid and other assets on the condensed consolidated balance sheets, was $0.8 million as of both March 31,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816" w:type="dxa"/>
        <w:jc w:val="left"/>
        <w:tblInd w:w="0" w:type="dxa"/>
        <w:tblLayout w:type="fixed"/>
        <w:tblCellMar>
          <w:top w:w="28" w:type="dxa"/>
          <w:left w:w="28" w:type="dxa"/>
          <w:bottom w:w="28" w:type="dxa"/>
          <w:right w:w="28" w:type="dxa"/>
        </w:tblCellMar>
      </w:tblPr>
      <w:tblGrid>
        <w:gridCol w:w="972"/>
        <w:gridCol w:w="854"/>
        <w:gridCol w:w="858"/>
        <w:gridCol w:w="255"/>
        <w:gridCol w:w="873"/>
        <w:gridCol w:w="132"/>
        <w:gridCol w:w="109"/>
        <w:gridCol w:w="109"/>
        <w:gridCol w:w="109"/>
        <w:gridCol w:w="300"/>
        <w:gridCol w:w="1026"/>
        <w:gridCol w:w="219"/>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Video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value</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54,476 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(49,972)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totaled $0.6 million and $1.5 million for the three months ended March 31, 2026 and 2025,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Capitalized Software Costs,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software costs, net consisted of the following:</w:t>
      </w:r>
    </w:p>
    <w:tbl>
      <w:tblPr>
        <w:tblW w:w="5980" w:type="dxa"/>
        <w:jc w:val="left"/>
        <w:tblInd w:w="0" w:type="dxa"/>
        <w:tblLayout w:type="fixed"/>
        <w:tblCellMar>
          <w:top w:w="28" w:type="dxa"/>
          <w:left w:w="28" w:type="dxa"/>
          <w:bottom w:w="28" w:type="dxa"/>
          <w:right w:w="28" w:type="dxa"/>
        </w:tblCellMar>
      </w:tblPr>
      <w:tblGrid>
        <w:gridCol w:w="1031"/>
        <w:gridCol w:w="907"/>
        <w:gridCol w:w="912"/>
        <w:gridCol w:w="232"/>
        <w:gridCol w:w="908"/>
        <w:gridCol w:w="119"/>
        <w:gridCol w:w="109"/>
        <w:gridCol w:w="109"/>
        <w:gridCol w:w="109"/>
        <w:gridCol w:w="273"/>
        <w:gridCol w:w="1072"/>
        <w:gridCol w:w="199"/>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Website and internal-use software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101,084 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(76,839)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25,386 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capitalized $4.0 million and $3.1 million for the three months ended March 31, 2026 and 2025, respectively, included in capitalized software costs, net. The Company amortized $2.8 million and $2.8 million for the three months ended March 31, 2026 and 2025,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intangible assets for the periods presented and the weighted average remaining useful lives:</w:t>
      </w:r>
    </w:p>
    <w:tbl>
      <w:tblPr>
        <w:tblW w:w="10811" w:type="dxa"/>
        <w:jc w:val="left"/>
        <w:tblInd w:w="0" w:type="dxa"/>
        <w:tblLayout w:type="fixed"/>
        <w:tblCellMar>
          <w:top w:w="28" w:type="dxa"/>
          <w:left w:w="28" w:type="dxa"/>
          <w:bottom w:w="28" w:type="dxa"/>
          <w:right w:w="28" w:type="dxa"/>
        </w:tblCellMar>
      </w:tblPr>
      <w:tblGrid>
        <w:gridCol w:w="566"/>
        <w:gridCol w:w="339"/>
        <w:gridCol w:w="341"/>
        <w:gridCol w:w="310"/>
        <w:gridCol w:w="295"/>
        <w:gridCol w:w="296"/>
        <w:gridCol w:w="109"/>
        <w:gridCol w:w="109"/>
        <w:gridCol w:w="109"/>
        <w:gridCol w:w="211"/>
        <w:gridCol w:w="721"/>
        <w:gridCol w:w="109"/>
        <w:gridCol w:w="109"/>
        <w:gridCol w:w="109"/>
        <w:gridCol w:w="109"/>
        <w:gridCol w:w="243"/>
        <w:gridCol w:w="711"/>
        <w:gridCol w:w="127"/>
        <w:gridCol w:w="109"/>
        <w:gridCol w:w="109"/>
        <w:gridCol w:w="109"/>
        <w:gridCol w:w="211"/>
        <w:gridCol w:w="616"/>
        <w:gridCol w:w="109"/>
        <w:gridCol w:w="109"/>
        <w:gridCol w:w="109"/>
        <w:gridCol w:w="109"/>
        <w:gridCol w:w="109"/>
        <w:gridCol w:w="109"/>
        <w:gridCol w:w="109"/>
        <w:gridCol w:w="109"/>
        <w:gridCol w:w="211"/>
        <w:gridCol w:w="721"/>
        <w:gridCol w:w="109"/>
        <w:gridCol w:w="109"/>
        <w:gridCol w:w="109"/>
        <w:gridCol w:w="109"/>
        <w:gridCol w:w="243"/>
        <w:gridCol w:w="711"/>
        <w:gridCol w:w="127"/>
        <w:gridCol w:w="109"/>
        <w:gridCol w:w="109"/>
        <w:gridCol w:w="109"/>
        <w:gridCol w:w="211"/>
        <w:gridCol w:w="721"/>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associated with intangible assets for the three months ended March 31, 2026 and 2025 was $0.3 million and $0.3 million, respectively, included in depreciation and amortization expense.</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Estimated future amortization expense 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is as follows (in thousands):</w:t>
      </w:r>
    </w:p>
    <w:tbl>
      <w:tblPr>
        <w:tblW w:w="2661" w:type="dxa"/>
        <w:jc w:val="left"/>
        <w:tblInd w:w="0" w:type="dxa"/>
        <w:tblLayout w:type="fixed"/>
        <w:tblCellMar>
          <w:top w:w="28" w:type="dxa"/>
          <w:left w:w="28" w:type="dxa"/>
          <w:bottom w:w="28" w:type="dxa"/>
          <w:right w:w="28" w:type="dxa"/>
        </w:tblCellMar>
      </w:tblPr>
      <w:tblGrid>
        <w:gridCol w:w="608"/>
        <w:gridCol w:w="534"/>
        <w:gridCol w:w="538"/>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as of October 1 and more frequently if events or changes in circumstances indicate an impairment may exist (a “triggering event”). As of March 31, 2026 and December 31, 2025, the Company had $13.1 million of goodwill recorded on its condensed consolidated balance sheets. The Company concluded there were no impairment triggering events as of, and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Standby Letters of Credit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2024, the Company entered into an agreement with a financial institution for standby letters of credit in the amount of $15.5 million, which were issued during the second quarter of 2024 in favor of certain of the Company’s landlords and remain outstanding as of March 31, 2026. Additionally, during the first quarter of 2025, the Company entered into an agreement with a financial institution for a standby letter of credit in the amount of approximately $2.9 million, which was issued in the first quarter of 2025 in favor of the Company’s landlord for its corporate headquarters, and remains outstanding as of March 31, 2026. Refer to Note 13 herein for additional details with respect to this lease.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Convertible Notes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Combination, the Company issued, and those investors purchased, the Notes, which were governed by an indenture, dated December 3, 2021, which was amended on each of July 10, 2023, February 28, 2024, October 28, 2024, and December 10, 2024 (the “Indenture”). The Notes were convertible into shares of our Class A common stock at an initial conversion price of approximately $50.00 and bore interest at a rate of 8.5% per annum, payable semi-annually.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repurchased / redeemed $120.0 million of the Notes in connection with various transactions. The Company repurchased / redeemed the remaining $30.0 million during the year ended December 31, 2025 (approximately $0.3 million during the three months ended March 31, 2025, and the remaining $29.7 million during the second quarter of 2025). A loss on early extinguishment of debt of approximately $5.5 million was recorded in other expense, net, for the three and six months ended June 30, 2025 (none for the three months ended March 31,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23, 2025 (the “Closing Date”), the Company entered into a credit agreement (the “Credit Agreement”) with a financial institution that provides for, among other things, an asset-backed term loan (i.e., the Term Loan), with a commitment amount of the greater of $40.0 million and a borrowing base calculated as a percentage of the face amount of certain eligible receivables, plus an overadvance amount of up to $25.0 million from August 25, 2025 through April 30, 2026 (as discussed below), $20.0 million through August 31, 2026, and thereafter $10.0 million until the second anniversary of the Closing Date, and $5.0 million thereafter. The Company borrowed $40.0 million on the Closing Date. The Term Loan matures on May 23, 2028, and bears interest at the rate of Secured Overnight Financing Rate (“SOFR”), plus 6.5% per annum, subject to a SOFR floor of 3.5% (the interest rate was approximately 12.2% at March 31, 2026, which includes the incremental interest described below). The Company is required to repay $15.0 million of the Term Loan on August 31, 2026, upon the contractual expiration of certain of its outstanding standby letters of credit. The Term Loan is guaranteed by certain of the Company’s domestic and Canadian subsidiaries. The Term Loan’s lender has a first lien on substantially all assets of the Company and the Guarantors (as defined in the Credit Agreement). Pursuant to the Credit Agreement, the Company must maintain minimum liquidity of $5.0 million ($3.5 million through April 30, 2026, as described below). No other financial maintenance covenants are applicable, and the Company was in compliance with the aforementioned covenant as of March 31,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25, 2025, the Company entered into the Amendment No. 2 to Credit Agreement (the “Second Amended Credit Agreement,” as amended, supplemented, or otherwise modified from time to time prior to the Second Amended Credit Agreement, the “Credit Agreement”), which provided for an incremental loan commitment of $5.0 million, which was required to be repaid in full on February 20, 2026. The Company borrowed the incremental $5.0 million on August 25, 2025. As a result of this modification, the Company determined the modified debt terms were not substantially different from the original debt terms and applied modification accounting. The Company incurred debt discount / issuance fees paid to the creditor of approximately $0.2 million associated with this modification.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Amended Credit Agreement also provided for a permitted overadvance of $25.0 million from August 25, 2025, through February 20, 2026 (the Third Amended Credit Agreement extended the $25.0 million overadvance through April 30, 2026, as discussed below).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Company entered into a consent letter with the Term Loan’s lenders and agent, thereby extending the repayment date until February 27, 2026. On February 27, 2026, the Company entered into a second consent letter with the Term Loan’s lenders and agents, thereby further extending the repayment date until March 6,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the Company entered into Amendment No. 3 to Credit Agreement (the “Third Amended Credit Agreement,” as amended, supplemented, or otherwise modified from time to time prior to the Third Amended Credit Agreement, the “Credit Agreement”), which provided for an extension of the $5.0 million due date to April 30, 2026, and during the period from, and including March 6, 2026 to and including the date the $5.0 million is repaid, an incremental 2.0% rate of interest will apply (above the rate otherwise applicable under the Credit Agreement). Additionally, the minimum liquidity covenant of $5.0 million was reduced to $3.5 million at all times on or prior to April 30, 2026, and then it reverts back to $5.0 million at all times thereafter. The Third Amended Credit Agreement incurred a non-refundable amendment fee of approximately $0.2 million, which was paid in March 2026. Additionally, the Third Amended Credit Agreement established four operational milestones, three of which were required to be achieved by March 31, 2026 and the remaining milestone by April 30, 2026, each subject to a penalty of approximately $0.2 million if not satisfied by the specified deadline. One operational milestone was not achieved as of March 31, 2026, and therefore the Company was required to remit $0.2 million to the Lender (paid in April 2026). As a result of this modification, the Company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modified terms were not substantially different from the original debt terms and applied modification accounting, utilizing the original cash flows in the cash flow test since the debt was modified more than once in one year.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final operational milestone dated April 30, 2026 was not met, and therefore the Company was required to remit $0.2 million to the Lender (paid in May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19 herein for details surrounding the Fourth Amended Credit Agreement (as defined therein), which extends the $5.0 million due date to May 18, 2026, among other things.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$45.0 million aggregate principal amount of indebtedness associated with the Term Loan remains outstanding as of March 31,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as amended, also contains customary representations and warranties, events of default, financial reporting requirements, and affirmative and negative covenants, including restrictive covenants that, among other things, limit the ability of the Company and its subsidiaries to incur additional debt or liens, make acquisitions, make investments, pay dividends or buy back capital stock, dispose of assets or enter into transactions with affiliates, subject in each case to exceptions. The Company may prepay the Term Loan in whole or in part at any time after May 23, 2026 upon at least one business day’s notice together with accrued interest and a prepayment premium on the amount repaid equal to 2.5% until the second anniversary of the closing date and 1.0% thereafter.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debt discount / issuance costs related to the Term Loan totaled $3.0 million, and the unamortized amounts will be amortized to interest expense using the effective interest method over the contractual term.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Interest expense on the Term Loan is recognized at an effective interest rate o</w:t>
      </w:r>
      <w:r>
        <w:rPr>
          <w:rFonts w:ascii="Times New Roman;serif" w:hAnsi="Times New Roman;serif"/>
          <w:b w:val="false"/>
          <w:color w:val="000000"/>
          <w:sz w:val="20"/>
        </w:rPr>
        <w:t>f approximately 14.2%</w:t>
      </w:r>
      <w:r>
        <w:rPr>
          <w:color w:val="000000"/>
          <w:shd w:fill="FFFFFF" w:val="clear"/>
        </w:rPr>
        <w:t xml:space="preserve"> </w:t>
      </w:r>
      <w:r>
        <w:rPr>
          <w:rFonts w:ascii="Times New Roman;serif" w:hAnsi="Times New Roman;serif"/>
          <w:b w:val="false"/>
          <w:color w:val="000000"/>
          <w:sz w:val="20"/>
          <w:shd w:fill="FFFFFF" w:val="clear"/>
        </w:rPr>
        <w:t>and totale</w:t>
      </w:r>
      <w:r>
        <w:rPr>
          <w:rFonts w:ascii="Times New Roman;serif" w:hAnsi="Times New Roman;serif"/>
          <w:b w:val="false"/>
          <w:color w:val="000000"/>
          <w:sz w:val="20"/>
        </w:rPr>
        <w:t>d $1.4 million</w:t>
      </w:r>
      <w:r>
        <w:rPr>
          <w:color w:val="000000"/>
          <w:shd w:fill="FFFFFF" w:val="clear"/>
        </w:rPr>
        <w:t xml:space="preserve"> </w:t>
      </w:r>
      <w:r>
        <w:rPr>
          <w:rFonts w:ascii="Times New Roman;serif" w:hAnsi="Times New Roman;serif"/>
          <w:b w:val="false"/>
          <w:color w:val="000000"/>
          <w:sz w:val="20"/>
        </w:rPr>
        <w:t xml:space="preserve">for the three months ended March 31, 2026, of which amortization of the debt discount and issuance costs comprised $0.3 million </w:t>
      </w:r>
      <w:r>
        <w:rPr>
          <w:rFonts w:ascii="Times New Roman;serif" w:hAnsi="Times New Roman;serif"/>
          <w:b w:val="false"/>
          <w:color w:val="000000"/>
          <w:sz w:val="20"/>
          <w:shd w:fill="FFFFFF" w:val="clear"/>
        </w:rPr>
        <w:t>for the three months ended March 31,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Term Loan as of March 31, 2026 and December 31, 2025 was:</w:t>
      </w:r>
    </w:p>
    <w:tbl>
      <w:tblPr>
        <w:tblW w:w="7204" w:type="dxa"/>
        <w:jc w:val="left"/>
        <w:tblInd w:w="0" w:type="dxa"/>
        <w:tblLayout w:type="fixed"/>
        <w:tblCellMar>
          <w:top w:w="28" w:type="dxa"/>
          <w:left w:w="28" w:type="dxa"/>
          <w:bottom w:w="28" w:type="dxa"/>
          <w:right w:w="28" w:type="dxa"/>
        </w:tblCellMar>
      </w:tblPr>
      <w:tblGrid>
        <w:gridCol w:w="1396"/>
        <w:gridCol w:w="1227"/>
        <w:gridCol w:w="1231"/>
        <w:gridCol w:w="255"/>
        <w:gridCol w:w="873"/>
        <w:gridCol w:w="132"/>
        <w:gridCol w:w="109"/>
        <w:gridCol w:w="109"/>
        <w:gridCol w:w="109"/>
        <w:gridCol w:w="304"/>
        <w:gridCol w:w="1039"/>
        <w:gridCol w:w="157"/>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43,152 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$19.1 million and 19.2 million of the net carrying value of the Term Loan was classified as current debt and the remaining $23.8 million and $24.0 million was classified as non-current debt within the condensed consolidated balance sheets as of March 31, 2026 and December 31, 2025, respectively. The estimated fair value of the Term Loan approximates the carrying value because the variable interest rate approximates current market rates.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Girls Like Girls Film Inc. Indebtedness</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26, 2025, BuzzFeed Studios Canada, Inc., an indirectly held subsidiary of the Company, acquired a majority stock interest (i.e., 70%) in Girls Like Girls Film Inc. Upon acquisition, Girls Like Girls Film Inc. had debt of approximately $4.8 million (CAD $6.6 million) (the “Girls Like Girls’ Indebtedness”), of which $4.0 million was required to be repaid with proceeds from a contract with a third party for distribution rights for a feature film, and the remaining $0.8 million was due when Girls Like Girls Film Inc. received expected production tax credits. $3.6 million was repaid in September 2025, and approximately $1.0 million was repaid in December 2025, resulting in a remaining balance of approximately $0.2 million as of December 31, 2025. The remaining balance was paid in February 2026, and this debt facility is now closed.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through indirectly held subsidiaries, enters into various film financing arrangements in order to cash flow feature films in various phases of production. These arrangements commonly utilize both short-term and long-term debt instruments, including both general credit facilities as well as financing secured by anticipated future cash flows, such as expected production tax credits or the value of current and prospective contractual arrangements with third parties.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lenders of these film financing arrangements often have a first priority lien in all of the aforementioned indirectly held subsidiaries’ assets until all outstanding indebtedness is repaid. Furthermore, these film financing arrangements are often funded in installments over time, and often require repayment in installments or tranches. Interest and other fees are often fixed, unless in the event of default. Some of these arrangements require funds to be remitted directly to the lenders from tax authorities or from the Company’s customers.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interest expense associated with film financing arrangements is generally fixed, debt discount / issuance costs are capitalized and included in film costs, net within the condensed consolidated balance sheets. These capitalized costs are amortized to cost of revenue, excluding depreciation and amortization, using the individual film forecast method, under which amortization is recognized in proportion to the ratio of current period revenue recognized to the film’s estimated remaining ultimate revenues (i.e., the total revenue to be received over the period of 10 years following release). The Company amortized $0.1 million and $nil of film-related interest expense for the three months ended March 31, 2026 and 2025,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these film financing arrangements outstanding as of March 31, 2026 and December 31, 2025 is as follows (dollars in thousands):</w:t>
      </w:r>
    </w:p>
    <w:tbl>
      <w:tblPr>
        <w:tblW w:w="10205" w:type="dxa"/>
        <w:jc w:val="left"/>
        <w:tblInd w:w="0" w:type="dxa"/>
        <w:tblLayout w:type="fixed"/>
        <w:tblCellMar>
          <w:top w:w="28" w:type="dxa"/>
          <w:left w:w="28" w:type="dxa"/>
          <w:bottom w:w="28" w:type="dxa"/>
          <w:right w:w="28" w:type="dxa"/>
        </w:tblCellMar>
      </w:tblPr>
      <w:tblGrid>
        <w:gridCol w:w="422"/>
        <w:gridCol w:w="371"/>
        <w:gridCol w:w="372"/>
        <w:gridCol w:w="109"/>
        <w:gridCol w:w="109"/>
        <w:gridCol w:w="109"/>
        <w:gridCol w:w="376"/>
        <w:gridCol w:w="376"/>
        <w:gridCol w:w="377"/>
        <w:gridCol w:w="109"/>
        <w:gridCol w:w="109"/>
        <w:gridCol w:w="109"/>
        <w:gridCol w:w="235"/>
        <w:gridCol w:w="820"/>
        <w:gridCol w:w="121"/>
        <w:gridCol w:w="249"/>
        <w:gridCol w:w="745"/>
        <w:gridCol w:w="128"/>
        <w:gridCol w:w="253"/>
        <w:gridCol w:w="756"/>
        <w:gridCol w:w="130"/>
        <w:gridCol w:w="109"/>
        <w:gridCol w:w="109"/>
        <w:gridCol w:w="109"/>
        <w:gridCol w:w="235"/>
        <w:gridCol w:w="820"/>
        <w:gridCol w:w="121"/>
        <w:gridCol w:w="249"/>
        <w:gridCol w:w="745"/>
        <w:gridCol w:w="128"/>
        <w:gridCol w:w="251"/>
        <w:gridCol w:w="751"/>
        <w:gridCol w:w="193"/>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1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Film Financing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6"/>
              </w:rPr>
              <w:t>Range of Contractual Maturity Dates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Outstanding / Carrying Value</w:t>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Capitalized Debt Discount / Issuance Costs</w:t>
            </w:r>
            <w:r>
              <w:rPr>
                <w:rFonts w:ascii="Times New Roman;serif" w:hAnsi="Times New Roman;serif"/>
                <w:b/>
                <w:color w:val="000000"/>
                <w:sz w:val="10"/>
              </w:rPr>
              <w:t>(2)</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Capitalized Debt Discount /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Outstanding / Carrying Value</w:t>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Capitalized Debt Discount / Issuance Costs</w:t>
            </w:r>
            <w:r>
              <w:rPr>
                <w:rFonts w:ascii="Times New Roman;serif" w:hAnsi="Times New Roman;serif"/>
                <w:b/>
                <w:color w:val="000000"/>
                <w:sz w:val="10"/>
              </w:rPr>
              <w:t>(2)</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Capitalized Debt Discount / Issuance Costs</w:t>
            </w:r>
          </w:p>
        </w:tc>
      </w:tr>
      <w:tr>
        <w:trPr/>
        <w:tc>
          <w:tcPr>
            <w:tcW w:w="1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2X Blind Partners,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2026 through 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Adulting,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2026 through 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Gloria De Film,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 through 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Clover Film,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 through 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15,436</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3,056</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2,723</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15,015</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3,056</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2,801</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The contractual maturity dates for 2X Blind Partners, Inc. are as follows: $2.6 million on March 16, 2026, $2.4 million on August 14, 2026, $0.2 million on September 14, 2026, and $0.2 million on September 17, 2026. For 2X Blind Partners, Inc., as of March 31, 2026, there was an additional $0.1 million of indebtedness available, but not yet incurred. In April 2026, in exchange for fees of $0.2 million, the Company and the lender for 2X Blind Partners, Inc. agreed to the following updated maturity schedules (this film financing indebtedness is repaid directly from customers and tax credit authorities): $1.4 million on May 15, 2026, $1.1 million on July 1, 2026, $2.0 million on August 14, 2026, and $0.5 million on September 14, 2026. The September 17, 2026 due date of $0.2 million remains unchanged.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maturity dates for Adulting, Inc. are as follows: $0.1 million on February 14, 2026, $0.9 million on May 1, 2026, $0.2 million on September 17, 2026, and the remaining $0.3 million between May 15, 2028 and February 15, 2029. With respect to the February 14, 2026 contractual maturity date, these funds are remitted directly from a customer to the lender, and those parties are working together to resolve. Accordingly, the Company does not believe this delay represents a default under the terms of the financing.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maturity dates for Gloria De Film, Inc. are as follows: $0.4 million on August 5, 2026, $0.8 million on October 15, 2026, $0.2 million on November 14, 2026, $0.5 million on May 15, 2027, $1.6 million on July 29, 2027 (the earlier of July 29, 2027, or the date tax credit proceeds are received, which are expected within 12 months from March 31, 2026), and $0.4 million on July 31, 2027. For Gloria De Film, Inc., as of March 31, 2026, there was an additional $0.3 million of indebtedness available, but not yet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contractual maturity dates for Clover Film, Inc. are as follows: $0.3 million on August 15, 2026, $0.1 million between May 15, 2027 and November 15, 2027, $1.9 million on June 19, 2027 (the earlier of June 19, 2027, or the date tax credit proceeds are received, which are expected within 12 months from March 31, 2026), and the remaining $2.9 million on December 23, 2027.</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Totals may not foot due to rounding.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(2)Interest is fixed, unless in the event of default.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carrying value / principal amount of short-term debt and long-term debt associated with film financing arrangements totaled $11.1 million and $4.3 million, respectively. As of December 31, 2025, the carrying value / principal amount of short-term debt and long-term debt associated with film financing arrangements totaled $11.1 million and $3.9 million, respectively. </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 xml:space="preserve">Future Principal Payments of Total Debt </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future principal payments of total debt outstanding as of March 31, 2026:</w:t>
      </w:r>
    </w:p>
    <w:tbl>
      <w:tblPr>
        <w:tblW w:w="3093"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211"/>
        <w:gridCol w:w="721"/>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principal repayments in 2026, approximately $1.2 million and $1.9 million relate to Gloria De Film, Inc. and Clover Film, Inc., respectively. While these obligations have contractual maturity dates in 2027, the underlying debt agreements contain on-demand repayment provisions requiring tax credit proceeds to be remitted directly from various tax authorities to the lenders. As these tax credit collections are anticipated within the next 12 months, the associated balances have been classified as current as of both March 31, 2026 and December 31, 2025.</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Weighted-Average Interest Rate on Short-Term Borrowings</w:t>
      </w:r>
    </w:p>
    <w:p>
      <w:pPr>
        <w:pStyle w:val="TextBody"/>
        <w:bidi w:val="0"/>
        <w:spacing w:lineRule="auto" w:line="288" w:before="240" w:after="180"/>
        <w:ind w:left="0" w:right="0" w:firstLine="360"/>
        <w:jc w:val="both"/>
        <w:rPr/>
      </w:pPr>
      <w:r>
        <w:rPr>
          <w:rFonts w:ascii="Times New Roman;serif" w:hAnsi="Times New Roman;serif"/>
          <w:b w:val="false"/>
          <w:color w:val="000000"/>
          <w:sz w:val="20"/>
        </w:rPr>
        <w:t>As of March 31, 2026 and December 31, 2025, the weighted average interest rate on short-term borrowings was approximately 11.2% and 11.0%, respectively</w:t>
      </w:r>
      <w:r>
        <w:rPr>
          <w:rFonts w:ascii="Arial;sans-serif" w:hAnsi="Arial;sans-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50 votes. Class C common stock is non-voting.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Business Combination, the Company authorized the issuance of 50,000,000 shares of preferred stock, par value $0.0001 per share. The Company’s board of directors is authorized, without further stockholder approval, to issue such preferred stock in one or more series, to fix the voting rights, if any, designations, powers, preferences and relative, participating, optional or other special rights, if any, of each such series and any qualifications, limitations and restrictions thereof, applicable to the shares of each series. There were no issued and outstanding shares of preferred stock as of March 31,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Repurchase of Common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23, 2025, the Company entered into a share repurchase agreement with New Enterprise Associates 13, L.P., then a holder of the Company’s outstanding Class A common stock, providing for the Company to repurchase 1.8 million shares of its Class A common stock, par value of $0.0001 per share, in a privately negotiated transaction, at a purchase price of $1.82 per share, for an aggregate purchase price of approximately $3.3 million. The repurchase was approved by the Company’s board of directors, and this repurchase of common stock took place on May 23, 2025. This transaction resulted in the repurchased 1.8 million shares of the Company’s Class A common stock being classified as treasury stock, which was recorded at cost, within the Company’s condensed consolidated balance sheet as of March 31, 2026 and December 31, 2025, as the Company does not have any current formal or constructive plans to retire the shares.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stock option activity under the Company’s equity incentive plans is presented below:</w:t>
      </w:r>
    </w:p>
    <w:tbl>
      <w:tblPr>
        <w:tblW w:w="7541" w:type="dxa"/>
        <w:jc w:val="left"/>
        <w:tblInd w:w="0" w:type="dxa"/>
        <w:tblLayout w:type="fixed"/>
        <w:tblCellMar>
          <w:top w:w="28" w:type="dxa"/>
          <w:left w:w="28" w:type="dxa"/>
          <w:bottom w:w="28" w:type="dxa"/>
          <w:right w:w="28" w:type="dxa"/>
        </w:tblCellMar>
      </w:tblPr>
      <w:tblGrid>
        <w:gridCol w:w="1086"/>
        <w:gridCol w:w="953"/>
        <w:gridCol w:w="960"/>
        <w:gridCol w:w="294"/>
        <w:gridCol w:w="294"/>
        <w:gridCol w:w="296"/>
        <w:gridCol w:w="109"/>
        <w:gridCol w:w="109"/>
        <w:gridCol w:w="109"/>
        <w:gridCol w:w="211"/>
        <w:gridCol w:w="511"/>
        <w:gridCol w:w="109"/>
        <w:gridCol w:w="109"/>
        <w:gridCol w:w="109"/>
        <w:gridCol w:w="109"/>
        <w:gridCol w:w="295"/>
        <w:gridCol w:w="295"/>
        <w:gridCol w:w="296"/>
        <w:gridCol w:w="109"/>
        <w:gridCol w:w="109"/>
        <w:gridCol w:w="109"/>
        <w:gridCol w:w="262"/>
        <w:gridCol w:w="505"/>
        <w:gridCol w:w="193"/>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w:t>
              <w:br/>
              <w:t>Value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at March 31, 2026</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8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total share-based compensation costs not yet recognized related to unvested stock options was $3.0 million, which is expected to be recognized over the weighted-average remaining requisite service period of 0.6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restricted stock unit (“RSU”) activity is presented below:</w:t>
      </w:r>
    </w:p>
    <w:tbl>
      <w:tblPr>
        <w:tblW w:w="6359" w:type="dxa"/>
        <w:jc w:val="left"/>
        <w:tblInd w:w="0" w:type="dxa"/>
        <w:tblLayout w:type="fixed"/>
        <w:tblCellMar>
          <w:top w:w="28" w:type="dxa"/>
          <w:left w:w="28" w:type="dxa"/>
          <w:bottom w:w="28" w:type="dxa"/>
          <w:right w:w="28" w:type="dxa"/>
        </w:tblCellMar>
      </w:tblPr>
      <w:tblGrid>
        <w:gridCol w:w="1147"/>
        <w:gridCol w:w="1006"/>
        <w:gridCol w:w="1012"/>
        <w:gridCol w:w="308"/>
        <w:gridCol w:w="308"/>
        <w:gridCol w:w="196"/>
        <w:gridCol w:w="109"/>
        <w:gridCol w:w="109"/>
        <w:gridCol w:w="109"/>
        <w:gridCol w:w="495"/>
        <w:gridCol w:w="1199"/>
        <w:gridCol w:w="361"/>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were approximately $4.0 million of unrecognized compensation costs related to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included in the condensed consolidated statements of operations:</w:t>
      </w:r>
    </w:p>
    <w:tbl>
      <w:tblPr>
        <w:tblW w:w="7680" w:type="dxa"/>
        <w:jc w:val="left"/>
        <w:tblInd w:w="0" w:type="dxa"/>
        <w:tblLayout w:type="fixed"/>
        <w:tblCellMar>
          <w:top w:w="28" w:type="dxa"/>
          <w:left w:w="28" w:type="dxa"/>
          <w:bottom w:w="28" w:type="dxa"/>
          <w:right w:w="28" w:type="dxa"/>
        </w:tblCellMar>
      </w:tblPr>
      <w:tblGrid>
        <w:gridCol w:w="1740"/>
        <w:gridCol w:w="1528"/>
        <w:gridCol w:w="1532"/>
        <w:gridCol w:w="230"/>
        <w:gridCol w:w="672"/>
        <w:gridCol w:w="119"/>
        <w:gridCol w:w="119"/>
        <w:gridCol w:w="119"/>
        <w:gridCol w:w="119"/>
        <w:gridCol w:w="230"/>
        <w:gridCol w:w="672"/>
        <w:gridCol w:w="119"/>
        <w:gridCol w:w="109"/>
        <w:gridCol w:w="109"/>
        <w:gridCol w:w="109"/>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At-The-Market Offering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21, 2023, the Company filed a shelf registration statement on Form S-3 (the “Shelf Registration Statement”) under which it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was able to sell up to 3,316,503 shares of its Class A common stock. In July 2024, the Company increased the size of the offering available under the At-The-Market-Offering agreement to $150.0 million. As of March 31, 2026, the Company had sold, in the aggregate, 1,153,345 shares of its Class A common stock, at an average price of $2.52 per share, for aggregate net proceeds of $2.8 million after deducting commissions and offering expenses. The Company used the aggregate net proceeds for general corporate purposes. There were no proceeds raised related to this offering during the three months ended March 31, 2026, and there were $nil proceeds raised related to this offering during the three months ended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Net Loss Per Share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per share is computed using the two-class method. Basic net loss per share is computed using the weighted average number of shares of common stock outstanding for the period, net of treasury stock. Diluted net loss per share reflects the effect of the assumed exercise of any stock options, the vesting of any restricted stock units, and the exercise of any warrants (including the Public Warrants and the Private Warrants), in each case only in the periods in which such effect would have been dilutive.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net loss per share amounts were the same for Class A and Class B common stock because the holders of each class are entitled to equal per share dividends. There were no shares of Class C common stock outstanding for any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computation of basic and diluted net loss per share:</w:t>
      </w:r>
    </w:p>
    <w:tbl>
      <w:tblPr>
        <w:tblW w:w="8755" w:type="dxa"/>
        <w:jc w:val="left"/>
        <w:tblInd w:w="0" w:type="dxa"/>
        <w:tblLayout w:type="fixed"/>
        <w:tblCellMar>
          <w:top w:w="28" w:type="dxa"/>
          <w:left w:w="28" w:type="dxa"/>
          <w:bottom w:w="28" w:type="dxa"/>
          <w:right w:w="28" w:type="dxa"/>
        </w:tblCellMar>
      </w:tblPr>
      <w:tblGrid>
        <w:gridCol w:w="2069"/>
        <w:gridCol w:w="1814"/>
        <w:gridCol w:w="1832"/>
        <w:gridCol w:w="211"/>
        <w:gridCol w:w="796"/>
        <w:gridCol w:w="109"/>
        <w:gridCol w:w="109"/>
        <w:gridCol w:w="109"/>
        <w:gridCol w:w="109"/>
        <w:gridCol w:w="211"/>
        <w:gridCol w:w="796"/>
        <w:gridCol w:w="109"/>
        <w:gridCol w:w="109"/>
        <w:gridCol w:w="109"/>
        <w:gridCol w:w="109"/>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holders of Class A and Class B common stock</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loss per common share, basic and diluted</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loss per share information is presented on a rounded basis using actual amounts. Minor differences in totals may exist due to rounding.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numerator for net loss per basic and diluted common share excludes the impact of net (loss) income attributable to the noncontrolling interests for all periods presented.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details of securities that were excluded from the calculation of diluted loss per share as the effect would have been anti-dilutive: </w:t>
      </w:r>
    </w:p>
    <w:tbl>
      <w:tblPr>
        <w:tblW w:w="4838" w:type="dxa"/>
        <w:jc w:val="left"/>
        <w:tblInd w:w="0" w:type="dxa"/>
        <w:tblLayout w:type="fixed"/>
        <w:tblCellMar>
          <w:top w:w="28" w:type="dxa"/>
          <w:left w:w="28" w:type="dxa"/>
          <w:bottom w:w="28" w:type="dxa"/>
          <w:right w:w="28" w:type="dxa"/>
        </w:tblCellMar>
      </w:tblPr>
      <w:tblGrid>
        <w:gridCol w:w="678"/>
        <w:gridCol w:w="596"/>
        <w:gridCol w:w="601"/>
        <w:gridCol w:w="354"/>
        <w:gridCol w:w="266"/>
        <w:gridCol w:w="266"/>
        <w:gridCol w:w="266"/>
        <w:gridCol w:w="266"/>
        <w:gridCol w:w="266"/>
        <w:gridCol w:w="266"/>
        <w:gridCol w:w="266"/>
        <w:gridCol w:w="266"/>
        <w:gridCol w:w="109"/>
        <w:gridCol w:w="109"/>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5,734</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tbl>
      <w:tblPr>
        <w:tblW w:w="5459" w:type="dxa"/>
        <w:jc w:val="left"/>
        <w:tblInd w:w="0" w:type="dxa"/>
        <w:tblLayout w:type="fixed"/>
        <w:tblCellMar>
          <w:top w:w="28" w:type="dxa"/>
          <w:left w:w="28" w:type="dxa"/>
          <w:bottom w:w="28" w:type="dxa"/>
          <w:right w:w="28" w:type="dxa"/>
        </w:tblCellMar>
      </w:tblPr>
      <w:tblGrid>
        <w:gridCol w:w="935"/>
        <w:gridCol w:w="821"/>
        <w:gridCol w:w="824"/>
        <w:gridCol w:w="231"/>
        <w:gridCol w:w="592"/>
        <w:gridCol w:w="296"/>
        <w:gridCol w:w="119"/>
        <w:gridCol w:w="119"/>
        <w:gridCol w:w="119"/>
        <w:gridCol w:w="231"/>
        <w:gridCol w:w="395"/>
        <w:gridCol w:w="296"/>
        <w:gridCol w:w="109"/>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results of foreign operations. The effective tax rate for the three months ended March 31, 2026 differs from the rate for the prior</w:t>
        <w:noBreakHyphen/>
        <w:t xml:space="preserve">year period primarily due to activity in the Company's United Kingdom operations, including the required forfeiture of certain historical operating loss carryforwards and the related release of a valuation allowance.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was signed into law. These changes include provisions allowing accelerated tax deductions for qualified property and research expenditures. The impact of these law changes did not have a material impact on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Restructuring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implemented plans to reduce expenses by implementing an approximately 5% reduction in our then-current workforce. The reduction in workforce was intended to streamline the news operations for HuffPost. The Company incurred approximately $1.9 million of restructuring costs for the three months ended March 31, 2025, comprised mainly of severance and related benefits costs, all of which were included in cost of revenue, excluding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The Company leases office space under non-cancelable operating leases with various expiration dates through 2031 (assumes the early termination option as discussed below is exercised, otherwise, the expiration date is 2036). The Company accounts for leases under ASU 2016-02,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and options to extend or terminate the lease when it is reasonably certain the Company will exercise those options. The Company’s lease agreements generally do not contain any material residual value guarantees or material restrictive covenants. Certain of the Company’s lease agreements include escalating lease payments. Additionally, certain lease agreements contain other provisions which require the Company to pay taxes, insurance, or maintenance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subleases certain leased office space to third parties when it determines there is excess leased capacity. In July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is obligated to pay a fixed monthly rent of $0.8 million, subject to periodic increases. In-lieu of a cash security deposit, the Company received a letter of credit from Citibank for approximately $4.5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130-month lease agreement for a new corporate headquarters located in New York, New York, which commenced on June 16, 2025 (i.e., the “Commencement Date”). The lease contains one 5-year renewal option and an early termination option after 6 years of the rent commencement date (i.e., December 16, 2025 is the rent commencement date). Upon the Commencement Date, based on various economic and market-based factors, the Company concluded it is reasonably certain to exercise the early termination option, and therefore the lease term was determined to be 6 years, 6 months (i.e., the lease term was determined to be June 16, 2025 through December 15, 2031). The undiscounted lease payments range from approximately $0.2 million to $0.3 million per month throughout the contractual term of the lease (approximately $0.2 million per month throughout the term determined for accounting purposes). The Company determined this lease is an operating lease, and variable lease expenses are not material, and include the Company’s proportionate share of operating expenses, property taxes, and insurance.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illustrates the lease costs for the three months ended March 31, 2026 and 2025:</w:t>
      </w:r>
    </w:p>
    <w:tbl>
      <w:tblPr>
        <w:tblW w:w="5071"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109"/>
        <w:gridCol w:w="230"/>
        <w:gridCol w:w="672"/>
        <w:gridCol w:w="119"/>
        <w:gridCol w:w="119"/>
        <w:gridCol w:w="119"/>
        <w:gridCol w:w="119"/>
        <w:gridCol w:w="230"/>
        <w:gridCol w:w="672"/>
        <w:gridCol w:w="11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components of total lease cost are recorded within general and administrative expenses within the condensed consolidated statements of operations. The Company does not have material short-term or variable lease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Company’s condensed consolidated balance sheets related to operating leases:</w:t>
      </w:r>
    </w:p>
    <w:tbl>
      <w:tblPr>
        <w:tblW w:w="5442" w:type="dxa"/>
        <w:jc w:val="left"/>
        <w:tblInd w:w="0" w:type="dxa"/>
        <w:tblLayout w:type="fixed"/>
        <w:tblCellMar>
          <w:top w:w="28" w:type="dxa"/>
          <w:left w:w="28" w:type="dxa"/>
          <w:bottom w:w="28" w:type="dxa"/>
          <w:right w:w="28" w:type="dxa"/>
        </w:tblCellMar>
      </w:tblPr>
      <w:tblGrid>
        <w:gridCol w:w="835"/>
        <w:gridCol w:w="735"/>
        <w:gridCol w:w="740"/>
        <w:gridCol w:w="255"/>
        <w:gridCol w:w="873"/>
        <w:gridCol w:w="132"/>
        <w:gridCol w:w="109"/>
        <w:gridCol w:w="109"/>
        <w:gridCol w:w="109"/>
        <w:gridCol w:w="300"/>
        <w:gridCol w:w="1026"/>
        <w:gridCol w:w="219"/>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5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18,921 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22,209 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9146" w:type="dxa"/>
        <w:jc w:val="left"/>
        <w:tblInd w:w="0" w:type="dxa"/>
        <w:tblLayout w:type="fixed"/>
        <w:tblCellMar>
          <w:top w:w="28" w:type="dxa"/>
          <w:left w:w="28" w:type="dxa"/>
          <w:bottom w:w="28" w:type="dxa"/>
          <w:right w:w="28" w:type="dxa"/>
        </w:tblCellMar>
      </w:tblPr>
      <w:tblGrid>
        <w:gridCol w:w="2015"/>
        <w:gridCol w:w="1770"/>
        <w:gridCol w:w="1779"/>
        <w:gridCol w:w="362"/>
        <w:gridCol w:w="1056"/>
        <w:gridCol w:w="187"/>
        <w:gridCol w:w="109"/>
        <w:gridCol w:w="109"/>
        <w:gridCol w:w="109"/>
        <w:gridCol w:w="355"/>
        <w:gridCol w:w="1036"/>
        <w:gridCol w:w="259"/>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 liabilities</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tbl>
      <w:tblPr>
        <w:tblW w:w="7031" w:type="dxa"/>
        <w:jc w:val="left"/>
        <w:tblInd w:w="0" w:type="dxa"/>
        <w:tblLayout w:type="fixed"/>
        <w:tblCellMar>
          <w:top w:w="28" w:type="dxa"/>
          <w:left w:w="28" w:type="dxa"/>
          <w:bottom w:w="28" w:type="dxa"/>
          <w:right w:w="28" w:type="dxa"/>
        </w:tblCellMar>
      </w:tblPr>
      <w:tblGrid>
        <w:gridCol w:w="1410"/>
        <w:gridCol w:w="1241"/>
        <w:gridCol w:w="1249"/>
        <w:gridCol w:w="279"/>
        <w:gridCol w:w="279"/>
        <w:gridCol w:w="701"/>
        <w:gridCol w:w="109"/>
        <w:gridCol w:w="109"/>
        <w:gridCol w:w="109"/>
        <w:gridCol w:w="314"/>
        <w:gridCol w:w="314"/>
        <w:gridCol w:w="917"/>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as of March 31, 2026 were as follows:</w:t>
      </w:r>
    </w:p>
    <w:tbl>
      <w:tblPr>
        <w:tblW w:w="3641" w:type="dxa"/>
        <w:jc w:val="left"/>
        <w:tblInd w:w="0" w:type="dxa"/>
        <w:tblLayout w:type="fixed"/>
        <w:tblCellMar>
          <w:top w:w="28" w:type="dxa"/>
          <w:left w:w="28" w:type="dxa"/>
          <w:bottom w:w="28" w:type="dxa"/>
          <w:right w:w="28" w:type="dxa"/>
        </w:tblCellMar>
      </w:tblPr>
      <w:tblGrid>
        <w:gridCol w:w="687"/>
        <w:gridCol w:w="604"/>
        <w:gridCol w:w="613"/>
        <w:gridCol w:w="109"/>
        <w:gridCol w:w="109"/>
        <w:gridCol w:w="109"/>
        <w:gridCol w:w="274"/>
        <w:gridCol w:w="936"/>
        <w:gridCol w:w="20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28,401 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Sublease receipts to be received in the future under noncancelable subleases as of March 31, 2026 were as follows:</w:t>
      </w:r>
    </w:p>
    <w:tbl>
      <w:tblPr>
        <w:tblW w:w="2988"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211"/>
        <w:gridCol w:w="61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or around March 4, 2021, the City of São Paulo served a notice of infraction against BuzzFeed Do Brasil LTDA (“BuzzFeed BR”), an entity divested by the Company in October 2020. The infraction alleges a failure to pay advertising-related service taxes for the 2016 - 2018 period. BuzzFeed BR challenged the infraction on the grounds of non-retroactive application of the governing statute. Following unfavorable administrative rulings, the matter moved to judicial enforcement. As of December 4, 2025, three claims entered fiscal execution, resulting in a freeze of approximately $nil in BuzFeed BR’s bank account. To proceed with appeals, BuzzFeed BR must obtain a bond or furnish a bank deposit certificate to secure the amount in collections, which approximates $0.2 million (and is subject to interest in the amount of the IPCA index plus 1 percent). While the Company is not a direct party to the tax proceeds, the purchaser of BuzzFeed BR has asserted that the Company is obligated to resolve the matter under the divesitutre’s indemnification provisions. The Company is monitoring the matter with local counsel and does not currently believe its resolution will have a material adverse effect on its condensed consolidated financial statements.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settled or resolved certain legal matters during the three months ended March 31, 2026 and 2025 that did not individually or in the aggregate have a material impact on the Company’s business or its condensed consolidated financial position, results of operations, or cash flows.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each of its directors and executive officers. These agreements require the Company to indemnify each such individual, against any and all expenses incurred by him or her because of his or her status as one of our directors or executive officers, to the fullest extent permitted by Delaware law, our second amended and restated certificate of incorporation, and our restated bylaws.</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Nasdaq Listing Compliance</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 2026, the Company received a letter (the “Notice”) from the Listing Qualifications Department (the “Staff”) of The Nasdaq Stock Market LLC (“Nasdaq”) notifying the Company that, for the previous 30 consecutive business days, the bid price for the Company’s common stock had closed below the minimum $1.00 per share requirement for continued listing on the Nasdaq Capital Market under Nasdaq Listing Rule 5550(a)(2) (the “Bid Price Requirement”).</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Notice has no effect at this time on the Company’s common stock or warrants, which continue to trade on the Nasdaq Capital Market under the symbols “BZFD” and “BZFDW,”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been provided an initial period of 180 calendar days, or until August 31, 2026 (the “Compliance Date”), to regain compliance with the Bid Price Requirement. If, at any time before the Compliance Date, the bid price for the Company’s common stock closes at $1.00 or more for at least 10 consecutive business days, unless the Staff exercises its discretion to extend this 10-day period pursuant to Nasdaq Listing Rule 5810(c)(3)(H), the Staff will provide written notification to the Company that it has regained compliance with the Bid Price Requirement.</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is not in compliance with the Bid Price Requirement by the Compliance Date, the Company may qualify for a second 180-calendar day compliance period under Nasdaq Listing Rule 5810(c)(3)(A)(ii). To qualify, the Company would be required, among other things, to meet the continued listing requirement for the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If the Company does not qualify for, or fails to regain compliance during, a second compliance period, then the Staff will provide written notification to the Company that its common stock will be subject to delisting. At that time, the Company may appeal the Staff’s delisting determination to the Nasdaq Listing Qualifications Panel. However, there can be no assurance that, if the Company receives a delisting notice and appeals the delisting determination, such an appeal would be successful.</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may, if appropriate, consider available options to regain compliance with the Bid Price Requirement.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The Company determined that its chief executive officer is its CODM who makes resource allocation decisions and assesses performance based upon financial information at the consolidated level. The Company manages its operations as a single segment for the purpose of evaluating and making operating decisions.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about the Company’s types of products and services from which it derives its revenues, as well as the accounting policies of the Company’s single operating and reporting segment, are the same as those described in the summary of significant accounting policies (refer to Note 2 herein for additional details). The CODM assesses performance based on net loss as reported on the condensed consolidated statements of operations for purposes of deciding how to direct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 significant segment expense perspective, the CODM receives and uses a more bifurcated view of total cost of revenue (excluding depreciation and amortization), as outlined in the table below. Variable cost of revenue represents amounts related to web hosting, advertising serving platform costs, amounts due to third party websites and platforms to fulfill customers’ advertising campaigns, and production costs paid to third parties. Fixed cost of revenue primarily represents compensation-related expenses and costs incurred for the publishing of editorial, promotional, and news content across all platforms.</w:t>
      </w:r>
    </w:p>
    <w:tbl>
      <w:tblPr>
        <w:tblW w:w="8342" w:type="dxa"/>
        <w:jc w:val="left"/>
        <w:tblInd w:w="0" w:type="dxa"/>
        <w:tblLayout w:type="fixed"/>
        <w:tblCellMar>
          <w:top w:w="28" w:type="dxa"/>
          <w:left w:w="28" w:type="dxa"/>
          <w:bottom w:w="28" w:type="dxa"/>
          <w:right w:w="28" w:type="dxa"/>
        </w:tblCellMar>
      </w:tblPr>
      <w:tblGrid>
        <w:gridCol w:w="1898"/>
        <w:gridCol w:w="1664"/>
        <w:gridCol w:w="1672"/>
        <w:gridCol w:w="211"/>
        <w:gridCol w:w="721"/>
        <w:gridCol w:w="109"/>
        <w:gridCol w:w="109"/>
        <w:gridCol w:w="109"/>
        <w:gridCol w:w="109"/>
        <w:gridCol w:w="211"/>
        <w:gridCol w:w="721"/>
        <w:gridCol w:w="109"/>
        <w:gridCol w:w="109"/>
        <w:gridCol w:w="109"/>
        <w:gridCol w:w="109"/>
        <w:gridCol w:w="109"/>
        <w:gridCol w:w="109"/>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significant segment expenses and other significant segment items that comprise consolidated net loss and are regularly provided to the CODM are consistent with what is presented on the condensed consolidated statements of operations. The aggregate total of such expenses, which are comprised of sales and marketing, general and administrative, research and development, depreciation and amortization, other (expense) income, net, interest expense, net, change in fair value of warrant liabilities, and income tax (benefit) provision, were $24.4 million and $25.0 million for the three months ended March 31, 2026 and 2025,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information and capital expenditures are not provided to the CODM and are not utilized for the purpose of assessing performance or allocating resources, and therefore such information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Supplemental Disclosures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Costs,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film costs are predominantly monetized individually.</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Film cost amortization as well as participation liabilities are based on management’s estimates. Costs to produce films are amortized and estimated liabilities for participations are accrued using the individual film forecast method, based on the ratio of the current period’s revenues to management’s estimated remaining total gross revenues to be earned (“ultimate revenue”). The Company’s judgment is required in estimating ultimate revenue and the costs to be incurred throughout the life of each film.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ultimate revenue based on historical experience with similar titles or the title genre, the general public appeal of the cast, actual performance (when available) at the box office or in markets currently being exploited, and other factors such as the quality and acceptance of motion pictures or programs that our competitors release into the marketplace at or near the same time, critical reviews, general economic conditions, and other tangible and intangible factors, many of which we do not control and which may change. For feature films, ultimate revenue includes estimates over a period not to exceed 10 years following the date of initial release of the motion picture.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Film costs, which were included in film costs, net, on the on the condensed consolidated balance sheets, were as follows:</w:t>
      </w:r>
    </w:p>
    <w:tbl>
      <w:tblPr>
        <w:tblW w:w="6672" w:type="dxa"/>
        <w:jc w:val="left"/>
        <w:tblInd w:w="0" w:type="dxa"/>
        <w:tblLayout w:type="fixed"/>
        <w:tblCellMar>
          <w:top w:w="28" w:type="dxa"/>
          <w:left w:w="28" w:type="dxa"/>
          <w:bottom w:w="28" w:type="dxa"/>
          <w:right w:w="28" w:type="dxa"/>
        </w:tblCellMar>
      </w:tblPr>
      <w:tblGrid>
        <w:gridCol w:w="1281"/>
        <w:gridCol w:w="1127"/>
        <w:gridCol w:w="1132"/>
        <w:gridCol w:w="255"/>
        <w:gridCol w:w="873"/>
        <w:gridCol w:w="132"/>
        <w:gridCol w:w="109"/>
        <w:gridCol w:w="109"/>
        <w:gridCol w:w="109"/>
        <w:gridCol w:w="300"/>
        <w:gridCol w:w="1026"/>
        <w:gridCol w:w="219"/>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Individual Monetization:</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Feature films in production</w:t>
            </w:r>
          </w:p>
        </w:tc>
        <w:tc>
          <w:tcPr>
            <w:tcW w:w="25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feature films, less amortization</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6,279 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amortized $0.8 million of film costs for the three months ended March 31, 2026, and had no material amortization of film costs for the three months ended March 31, 2025. Film cost amortization is included in cost of revenue, excluding depreciation and amortization, in the condensed consolidated statements of operations.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co-financing arrangements with third parties to jointly finance or distribute certain of its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The Company accounts for the proceeds received from the investor under these arrangements as a reduction of its capitalized film costs (which approximated $4.5 million and $4.7 million as of March 31, 2026 and December 31, 2025, respectively), and the investor’s interest in the profit or loss of the film is recorded as either a charge or a benefit, respectively, in cost of revenue, excluding depreciation and amortization, in the condensed consolidated statements of operations. The investor’s interest in the profit or loss of a film is recorded each period using the individual film forecast computation method.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Governmental Assistance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Production tax incentives reduced capitalized film costs by $3.5 million and $2.6 million as of March 31, 2026 and December 31, 2025, respectively. Production tax incentives resulted in a reduction of cost of revenue, excluding depreciation and amortization, in the condensed consolidated statements of operations of approximately $0.2 million for the three months ended March 31, 2026 (none for the three months ended March 31, 2025). The Company had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related to production tax credits of $4.4 million and $3.2 million as of March 31, 2026 and December 31, 2025, respectively, included in prepaid and other current assets in the condensed consolidated balance sheets.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prepaid expenses and other current assets were comprised of the following:</w:t>
      </w:r>
    </w:p>
    <w:tbl>
      <w:tblPr>
        <w:tblW w:w="5711" w:type="dxa"/>
        <w:jc w:val="left"/>
        <w:tblInd w:w="0" w:type="dxa"/>
        <w:tblLayout w:type="fixed"/>
        <w:tblCellMar>
          <w:top w:w="28" w:type="dxa"/>
          <w:left w:w="28" w:type="dxa"/>
          <w:bottom w:w="28" w:type="dxa"/>
          <w:right w:w="28" w:type="dxa"/>
        </w:tblCellMar>
      </w:tblPr>
      <w:tblGrid>
        <w:gridCol w:w="934"/>
        <w:gridCol w:w="821"/>
        <w:gridCol w:w="824"/>
        <w:gridCol w:w="255"/>
        <w:gridCol w:w="873"/>
        <w:gridCol w:w="132"/>
        <w:gridCol w:w="109"/>
        <w:gridCol w:w="109"/>
        <w:gridCol w:w="109"/>
        <w:gridCol w:w="300"/>
        <w:gridCol w:w="1026"/>
        <w:gridCol w:w="219"/>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Non-trade accounts receivable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1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bl>
      <w:tblPr>
        <w:tblW w:w="10205" w:type="dxa"/>
        <w:jc w:val="left"/>
        <w:tblInd w:w="0" w:type="dxa"/>
        <w:tblLayout w:type="fixed"/>
        <w:tblCellMar>
          <w:top w:w="28" w:type="dxa"/>
          <w:left w:w="28" w:type="dxa"/>
          <w:bottom w:w="28" w:type="dxa"/>
          <w:right w:w="28" w:type="dxa"/>
        </w:tblCellMar>
      </w:tblPr>
      <w:tblGrid>
        <w:gridCol w:w="2956"/>
        <w:gridCol w:w="2390"/>
        <w:gridCol w:w="2403"/>
        <w:gridCol w:w="211"/>
        <w:gridCol w:w="721"/>
        <w:gridCol w:w="109"/>
        <w:gridCol w:w="109"/>
        <w:gridCol w:w="109"/>
        <w:gridCol w:w="109"/>
        <w:gridCol w:w="211"/>
        <w:gridCol w:w="721"/>
        <w:gridCol w:w="156"/>
      </w:tblGrid>
      <w:tr>
        <w:trPr/>
        <w:tc>
          <w:tcPr>
            <w:tcW w:w="2956"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(received) for income taxes,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debt issuance / modification costs for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deferred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to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contingent consideration for business combination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 within the condensed consolidated balance sheets to the amounts shown in the condensed consolidated statements of cash flows: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17. Other (Expense) Income,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 income, net consisted of the following for the three months ended March 31, 2026 and 2025:</w:t>
      </w:r>
    </w:p>
    <w:tbl>
      <w:tblPr>
        <w:tblW w:w="6175" w:type="dxa"/>
        <w:jc w:val="left"/>
        <w:tblInd w:w="0" w:type="dxa"/>
        <w:tblLayout w:type="fixed"/>
        <w:tblCellMar>
          <w:top w:w="28" w:type="dxa"/>
          <w:left w:w="28" w:type="dxa"/>
          <w:bottom w:w="28" w:type="dxa"/>
          <w:right w:w="28" w:type="dxa"/>
        </w:tblCellMar>
      </w:tblPr>
      <w:tblGrid>
        <w:gridCol w:w="657"/>
        <w:gridCol w:w="577"/>
        <w:gridCol w:w="581"/>
        <w:gridCol w:w="109"/>
        <w:gridCol w:w="109"/>
        <w:gridCol w:w="242"/>
        <w:gridCol w:w="242"/>
        <w:gridCol w:w="469"/>
        <w:gridCol w:w="1203"/>
        <w:gridCol w:w="242"/>
        <w:gridCol w:w="109"/>
        <w:gridCol w:w="109"/>
        <w:gridCol w:w="109"/>
        <w:gridCol w:w="211"/>
        <w:gridCol w:w="616"/>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18. Disposals and Licenses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License of BuzzFeed, Tasty, and HuffPost’s U.K.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supported the BuzzFeed, Tasty, and HuffPost brands were transferred to IDNM as of April 1, 2024. Pursuant to the license agreement, IDNM will pay an annual license fee of between £0.3 million and £0.5 million (or approximately between $0.3 million and $0.6 million as of March 31, 2026), plus a net revenue share of 25% if certain criteria are met, as set forth in the license agreement.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 of BringMe Brand</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On June 13, 2024, the Company sold 100% of the assets related to the digital media brand known as </w:t>
      </w:r>
      <w:r>
        <w:rPr>
          <w:rFonts w:ascii="Times New Roman;serif" w:hAnsi="Times New Roman;serif"/>
          <w:b w:val="false"/>
          <w:i/>
          <w:color w:val="000000"/>
          <w:sz w:val="20"/>
        </w:rPr>
        <w:t>BringMe</w:t>
      </w:r>
      <w:r>
        <w:rPr>
          <w:color w:val="000000"/>
        </w:rPr>
        <w:t xml:space="preserve"> </w:t>
      </w:r>
      <w:r>
        <w:rPr>
          <w:rFonts w:ascii="Times New Roman;serif" w:hAnsi="Times New Roman;serif"/>
          <w:b w:val="false"/>
          <w:color w:val="000000"/>
          <w:sz w:val="20"/>
        </w:rPr>
        <w:t>for approximately $1.3 million in cash consideration, which is payable in installments through 2028 ($0.8 million has been received as of March 31,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 of Goodful and As/Is Brands</w:t>
      </w:r>
    </w:p>
    <w:p>
      <w:pPr>
        <w:pStyle w:val="TextBody"/>
        <w:bidi w:val="0"/>
        <w:spacing w:lineRule="auto" w:line="276" w:before="240" w:after="283"/>
        <w:ind w:left="0" w:right="0" w:firstLine="360"/>
        <w:jc w:val="both"/>
        <w:rPr/>
      </w:pPr>
      <w:r>
        <w:rPr>
          <w:rFonts w:ascii="Times New Roman;serif" w:hAnsi="Times New Roman;serif"/>
          <w:b w:val="false"/>
          <w:color w:val="000000"/>
          <w:sz w:val="20"/>
        </w:rPr>
        <w:t xml:space="preserve">On December 9, 2025, the Company sold 100% of the assets related to the digital media brands known as </w:t>
      </w:r>
      <w:r>
        <w:rPr>
          <w:rFonts w:ascii="Times New Roman;serif" w:hAnsi="Times New Roman;serif"/>
          <w:b w:val="false"/>
          <w:i/>
          <w:color w:val="000000"/>
          <w:sz w:val="20"/>
        </w:rPr>
        <w:t>Goodful</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As/Is</w:t>
      </w:r>
      <w:r>
        <w:rPr>
          <w:color w:val="000000"/>
        </w:rPr>
        <w:t xml:space="preserve"> </w:t>
      </w:r>
      <w:r>
        <w:rPr>
          <w:rFonts w:ascii="Times New Roman;serif" w:hAnsi="Times New Roman;serif"/>
          <w:b w:val="false"/>
          <w:color w:val="000000"/>
          <w:sz w:val="20"/>
        </w:rPr>
        <w:t xml:space="preserve">for approximately $0.5 million in fixed cash consideration, which is payable in installments through May 1, 2027 ($0.2 million of which was received as of March 31, 2026). </w:t>
      </w:r>
      <w:r>
        <w:rPr>
          <w:rFonts w:ascii="Times New Roman;serif" w:hAnsi="Times New Roman;serif"/>
          <w:b w:val="false"/>
          <w:i/>
          <w:color w:val="000000"/>
          <w:sz w:val="20"/>
        </w:rPr>
        <w:t>Goodful</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As/Is</w:t>
      </w:r>
      <w:r>
        <w:rPr>
          <w:color w:val="000000"/>
        </w:rPr>
        <w:t xml:space="preserve"> </w:t>
      </w:r>
      <w:r>
        <w:rPr>
          <w:rFonts w:ascii="Times New Roman;serif" w:hAnsi="Times New Roman;serif"/>
          <w:b w:val="false"/>
          <w:color w:val="000000"/>
          <w:sz w:val="20"/>
        </w:rPr>
        <w:t xml:space="preserve">did not have a material impact on the Company’s net loss for any period presented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subsequent events that occurred after March 31, 2026 through the date the condensed consolidated financial statements were issued (May 11, 2026). Except as disclosed below, the Company did not identify any subsequent events that would require recognition or disclosure in the condensed consolidated financial statements.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Entry into Stock Purchase Agreement with Allen Family Digital, LLC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BuzzFeed, Inc. entered into a Stock Purchase Agreement (the “Agreement”) with Allen Family Digital, LLC (“Investor”), pursuant to which the Company agreed to sell to the Investor, and the Investor agreed to purchase from the Company, 40,000,000 shares (the “Shares”) of the Company’s Class A common stock, par value $0.0001 per share (the “Transaction”). The aggregate consideration of $3.00 per share payable by the Investor is comprised of (i) $20.0 million in cash to be paid to the Company at the closing of the Transaction, and (ii) a five-year secured promissory note in the principal amount of $100.0 million (the “Promissory Note”) to be issued to the Company at the closing of the Transaction. The Promissory Note bears interest at a rate of 5% per annum, with interest payable semi-annually on the last business day of each June and December. The Promissory Note matures on the fifth anniversary of the Closing Date (as defined in the Agreement). The Promissory Note is secured by a first priority security interest in 33.3 million of the Shares and the Company understands that Investor currently holds no assets other than the Shares.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execution of the Agreement, Jonah Peretti, BuzzFeed’s Founder and CEO, notified the Company of his intention to convert all of his outstanding shares of Class B common stock (1,309,354 as of May 5, 2026) into Class A common stock, which will leave approximately 33,355 shares of Class B common stock outstanding. This will result in the Investor owning approximately 52% of the outstanding Class A common stock, which will result in the Investor controlling the Company.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Agreement, the Company, the Investor, and Jonah Peretti, LLC entered into a Director Appointment Agreement (the “Director Appointment Agreement”), pursuant to which, effective as of the closing of the Transaction, the Company’s board of directors will be expanded from four to eight directors until the Company’s 2026 annual meeting (the “2026 Annual Meeting”) after which time the Company’s board of directors will be expanded from eight to nine directors. Prior to the 2026 Annual Meeting, pursuant to the Director Appointment Agreement,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Investor will have the right to appoint five of the eight members of the Company’s board of directors. Following the 2026 Annual Meeting and the expansion of the Company’s board of directors from eight to nine members, pursuant to the Director Appointment Agreement, (A) the Investor will have the right to appoint (i) six directors provided the Investor beneficially owns more than 50% of the Company’s then-outstanding common stock and (ii) a majority of the directors provided the Investor beneficially owns less than 40% but equal to or more than 20% of the Company’s then-outstanding common stock and (B) Jonah Peretti, LLC will have the right to appoint one director as long as he owns a specified amount of the Company’s then-outstanding common stock.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Nasdaq approved an exception to Nasdaq Listing Rule 5635 (Shareholder Approval) and Nasdaq Listing Rule 5640 (Voting Rights) in connection with the issuance and sale of the Shares and the execution of the Director Appointment Agreement.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is expected to close prior to the end of May 2026, but no earlier than 10 days after the Company’s shareholders are notified of the Transaction in accordance with Nasdaq Rule 5635.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Announcement of CEO Transition Plan and Proposed Election of Officers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Jonah Peretti, BuzzFeed’s Founder and CEO, announced his intention to transition from his role as CEO of the Company, with Byron Allen named as his successor. Mr. Allen is expected to assume the role of Chief Executive Officer of BuzzFeed, Inc. in the coming weeks, and Mr. Peretti is expected to transition to a new role as President of BuzzFeed AI. Mr. Peretti will also continue to serve as a director of the Company.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Resignation of Director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 Gregory Coleman resigned from the Board and the Audit Committee, the Compensation Committee and the Nominating, Corporate Governance, and Corporate Responsibility Committee of the Board on May 11, 2026, effective as of the Closing Date. Gregory Coleman’s resignation was not due to any disagreement with the Company or any matter relating to the Company's operations, policies, or practices.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Amendment No. 4 to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7, 2026, the Company entered into Amendment No. 4 to Credit Agreement (the “Fourth Amended Credit Agreement,” as amended, supplemented, or otherwise modified from time to time prior to the Fourth Amended Credit Agreement, the “Credit Agreement”), which provided for an extension of the $5.0 million due under the Credit Agreement from April 30, 2026 to May 18, 2026. Additionally, the Fourth Amended Credit Agreement establishes certain incremental mandatory prepayments, whereby the Company is required to prepay any aggregate outstanding principal amounts of any Overadvances (as defined in the Credit Agreement) upon the occurrence of certain events, including from the sale of specified assets or the issuance of any equity interests, subject to the Company retaining liquidity of $7.5 million.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will incur a debt modification fee of approximately $0.5 million in connection with the Fourth Amended Credit Agreement, which will be payable only upon the occurrence of certain events.</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Contemplated Separation of BuzzFeed Studios, Inc.</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11, 2026, the Company announced a strategic plan to potentially separate its studio (including vertical micro-dramas, animation, digital video, and premium studio including feature films) and Tasty business units into a standalone, independent entity, BuzzFeed Studios, Inc., to attract new investors. The Company is in the preliminary stages of evaluating the structure and timing of the transaction. As of May 11, 2026, no definitive agreements have been executed in connection with the proposed separation. There can be no assurance as to the specific structure of this potential reorganization, the timing of its implementation, or whether this evaluation will result in a sale, a strategic partnership, or any other transaction, or to what extent such a transaction would have on our condensed consolidated financial statements.</w:t>
      </w:r>
    </w:p>
    <w:p>
      <w:pPr>
        <w:pStyle w:val="TextBody"/>
        <w:bidi w:val="0"/>
        <w:spacing w:before="0" w:after="0"/>
        <w:ind w:left="0" w:right="0" w:firstLine="360"/>
        <w:jc w:val="both"/>
        <w:rPr/>
      </w:pPr>
      <w:r>
        <w:rPr/>
      </w:r>
    </w:p>
    <w:p>
      <w:pPr>
        <w:pStyle w:val="TextBody"/>
        <w:bidi w:val="0"/>
        <w:spacing w:lineRule="auto" w:line="276" w:before="0" w:after="0"/>
        <w:jc w:val="both"/>
        <w:rPr/>
      </w:pPr>
      <w:r>
        <w:rPr>
          <w:rFonts w:ascii="Times New Roman;serif" w:hAnsi="Times New Roman;serif"/>
          <w:b/>
          <w:color w:val="000000"/>
          <w:sz w:val="20"/>
        </w:rPr>
        <w:t>Strategic Review and Restructuring Initiatives</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March 31, 2026, the Company initiated a comprehensive review of its strategic direction and cost structure to address near-term liquidity requirements and improve long-term operational efficiency. As these initiatives are in the preliminary stages, the Company has not yet finalized a definitive timeline or the specific scope of these actions. As such, the Company is unable to provide a good-faith estimate of the range of any restructuring charges, or the timing of any such plan or charge.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condensed consolidated financial statements of BuzzFeed and related notes thereto included elsewhere within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filings with the Securities and Exchange Commission.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 is a premier digital media company. Across pop culture, entertainment, shopping, food, and news, our brands drive conversation and inspire what audiences watch, read, and buy now — and into the future. Our iconic, globally-loved brands include BuzzFeed, HuffPost, and Tasty.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scale and low cost. As a result, each of our brands has a large, loyal, highly-engaged audience that is attractive to advertisers, and through our rich first party data offering and contextual marketing solutions, we are able to help both advertisers and creators effectively and efficiently reach their target audiences. In 2025, our audiences consumed more than 276 million hours of content, and drove over $450 million in attributable transactions for our commerce partners.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pursuant to subscription agreements entered into in connection with the merger agreement pursuant to which the Business Combination was consummated, we issued, and certain investors purchased, $150.0 million aggregate principal amount of unsecured convertible notes due 2026 (the “Notes”) concurrently with the closing of the Business Combination. We repurchased approximately $120.0 million of the Notes in 2024 and the remaining $30.0 million of Notes in 2025, resulting in the full redemption of the Notes. Refer to Note 8 to the condensed consolidated financial statements included elsewhere within this Quarterly Report on Form 10-Q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we implemented plans to reduce expenses by implementing an approximately 5% reduction in our then-current workforce. The reduction in workforce was intended to streamline the news operations for HuffPost. We incurred approximately $1.9 million of restructuring costs for the three months ended March 31, 2025, comprised mainly of severance and related benefits costs, all of which were included in cost of revenue, excluding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Effects of Current Economic Conditions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market uncertainty and elevated interest rates, which has led to reduced spending from advertising and content customers. These macroeconomic factors have adversely impacted our advertising and content revenue in 2025 and to date in 2026, and we expect these factors will continue to adversely affect our revenue in 2026.</w:t>
      </w:r>
      <w:r>
        <w:rPr>
          <w:color w:val="000000"/>
          <w:shd w:fill="FFFFFF" w:val="clear"/>
        </w:rPr>
        <w:t xml:space="preserve"> </w:t>
      </w:r>
      <w:r>
        <w:rPr>
          <w:rFonts w:ascii="Times New Roman;serif" w:hAnsi="Times New Roman;serif"/>
          <w:b w:val="false"/>
          <w:color w:val="000000"/>
          <w:sz w:val="20"/>
          <w:shd w:fill="FFFFFF" w:val="clear"/>
        </w:rPr>
        <w:t>In addition, u</w:t>
      </w:r>
      <w:r>
        <w:rPr>
          <w:rFonts w:ascii="Times New Roman;serif" w:hAnsi="Times New Roman;serif"/>
          <w:b w:val="false"/>
          <w:color w:val="000000"/>
          <w:sz w:val="20"/>
        </w:rPr>
        <w:t xml:space="preserve">ncertainty surrounding macroeconomic factors in the U.S. and globally characterized by inflationary pressure, elevated interest rates, geopolitical issues, trade tensions between the U.S. and its trading partners, tariffs, or other factors may result in a recession, which could have a material adverse effect on our business. </w:t>
      </w:r>
      <w:r>
        <w:rPr>
          <w:rFonts w:ascii="Times New Roman;serif" w:hAnsi="Times New Roman;serif"/>
          <w:b w:val="false"/>
          <w:color w:val="000000"/>
          <w:sz w:val="20"/>
          <w:shd w:fill="FFFFFF" w:val="clear"/>
        </w:rPr>
        <w:t xml:space="preserve">Refer to Part I, Item 1A “Risk Factors” </w:t>
      </w:r>
      <w:r>
        <w:rPr>
          <w:rFonts w:ascii="Times New Roman;serif" w:hAnsi="Times New Roman;serif"/>
          <w:b w:val="false"/>
          <w:color w:val="000000"/>
          <w:sz w:val="20"/>
        </w:rPr>
        <w:t>within our Annual Report on Form 10-K for the fiscal year ended December 31, 2025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some seasonal influences. Historically, our revenue is typically highest in the fourth quarter of the year due to strong advertising spend and consumer spending during this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Entry into Stock Purchase Agreement with Allen Family Digital, LLC</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BuzzFeed, Inc. entered into a Stock Purchase Agreement (the “Agreement”) with Allen Family Digital, LLC (“Investor”), pursuant to which we agreed to sell to the Investor, and the Investor agreed to purchase from us, 40,000,000 shares (the “Shares”) of our Class A common stock, par value $0.0001 per share (the “Transaction”). The aggregate consideration of $3.00 per share payable by the Investor is comprised of (i) $20.0 million in cash to be paid to us at the closing of the Transaction, and (ii) a five-year secured promissory note in the principal amount of $100.0 million (the “Promissory Note”) to be issued to us at the closing of the Transaction. The Promissory Note bears interest at a rate of 5% per annum, with interest payable semi-annually on the last business day of each June and December. The Promissory Note matures on the fifth anniversary of the Closing Date (as defined in the Agreement). The Promissory Note is secured by a first priority security interest in 33.3 million of the Shares and the Company understands that Investor currently holds no assets other than the Shares.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execution of the Agreement, Jonah Peretti, BuzzFeed’s Founder and CEO, notified the Company of his intention to convert all of his outstanding shares of Class B common stock (1,309,354 as of May 5, 2026) into Class A common stock, which will leave approximately 33,355 shares of Class B common stock outstanding. Such conversion will result in Jonah Peretti owning approximately 2% of the outstanding shares of Class A common stock, and the purchase by the Investor will result in the Investor owning approximately 52% of the outstanding Class A common stock, which, taken together with the conversion by Jonah Peretti, will result in the Investor controlling us.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In connection with the execution of the Agreement, the Company, the Investor and Jonah Peretti, LLC entered into a Director Appointment Agreement (the “Director Appointment Agreement”), pursuant to which, effective as of the closing of the Transaction, our board of directors will be expanded from four to eight directors until our 2026 annual meeting (the “2026 Annual Meeting”) after which time our board of directors will be expanded from eight to nine directors. Prior to the 2026 Annual Meeting, pursuant to the Director Appointment Agreement, the Investor will have the right to appoint five of the eight members of our board of directors.</w:t>
      </w:r>
      <w:r>
        <w:rPr>
          <w:color w:val="000000"/>
        </w:rPr>
        <w:t xml:space="preserve"> </w:t>
      </w:r>
      <w:r>
        <w:rPr>
          <w:rFonts w:ascii="Times New Roman;serif" w:hAnsi="Times New Roman;serif"/>
          <w:b w:val="false"/>
          <w:color w:val="000000"/>
          <w:sz w:val="20"/>
        </w:rPr>
        <w:t>Following the 2026 Annual Meeting and the expansion of our board of directors from eight to nine members, pursuant to the Director Appointment Agreement, (A) the Investor will have the right to appoint (i) six directors provided the Investor beneficially owns more than 50% of the Company’s then-outstanding common stock and (ii) a majority of the directors provided the Investor beneficially owns less than 40% but equal to or more than 20% of our then-outstanding common stock and (B) Jonah Peretti, LLC will have the right to appoint one director as long as he owns a specified amount of our then-outstanding common stock.</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11, 2026, Nasdaq approved an exception to Nasdaq Listing Rule 5635 (Shareholder Approval) and Nasdaq Listing Rule 5640 (Voting Rights) in connection with the issuance and sale of the Shares and the execution of the Director Appointment Agreement.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is expected to close prior to the end of May 2026 but no earlier than 10 days after our shareholders are notified of the Transaction in accordance with Nasdaq Rule 5635.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descriptions of the Stock Purchase Agreement, the Director Appointment Agreement and the Promissory Note are qualified in their entirety by reference to the actual agreements, which have been filed as exhibits to this report and are incorporated by reference herein. </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Announcement of CEO Transition Plan and Proposed Election of Officers</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On May 11, 2026, Jonah Peretti, BuzzFeed’s Founder and CEO, announced his intention to transition from his role as our CEO, with Byron Allen named as his successor. Mr. Allen is expected to assume the role of Chief Executive Officer of BuzzFeed, Inc. in the coming weeks, and Mr. Peretti is expected to transition to a new role as President of BuzzFeed AI.</w:t>
      </w:r>
      <w:r>
        <w:rPr>
          <w:color w:val="000000"/>
        </w:rPr>
        <w:t xml:space="preserve"> </w:t>
      </w:r>
      <w:r>
        <w:rPr>
          <w:rFonts w:ascii="Times New Roman;serif" w:hAnsi="Times New Roman;serif"/>
          <w:b w:val="false"/>
          <w:color w:val="000000"/>
          <w:sz w:val="20"/>
        </w:rPr>
        <w:t>Mr. Peretti also will continue to serve as one of our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Executive 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operational highlights for the periods presented (in thousands):</w:t>
      </w:r>
    </w:p>
    <w:tbl>
      <w:tblPr>
        <w:tblW w:w="4705" w:type="dxa"/>
        <w:jc w:val="left"/>
        <w:tblInd w:w="0" w:type="dxa"/>
        <w:tblLayout w:type="fixed"/>
        <w:tblCellMar>
          <w:top w:w="28" w:type="dxa"/>
          <w:left w:w="28" w:type="dxa"/>
          <w:bottom w:w="28" w:type="dxa"/>
          <w:right w:w="28" w:type="dxa"/>
        </w:tblCellMar>
      </w:tblPr>
      <w:tblGrid>
        <w:gridCol w:w="656"/>
        <w:gridCol w:w="576"/>
        <w:gridCol w:w="583"/>
        <w:gridCol w:w="211"/>
        <w:gridCol w:w="721"/>
        <w:gridCol w:w="109"/>
        <w:gridCol w:w="109"/>
        <w:gridCol w:w="109"/>
        <w:gridCol w:w="109"/>
        <w:gridCol w:w="211"/>
        <w:gridCol w:w="721"/>
        <w:gridCol w:w="109"/>
        <w:gridCol w:w="109"/>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Non-Financial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Time Spent</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rPr>
        <w:t>(1)See “</w:t>
      </w:r>
      <w:r>
        <w:rPr>
          <w:rFonts w:ascii="Times New Roman;serif" w:hAnsi="Times New Roman;serif"/>
          <w:b w:val="false"/>
          <w:i/>
          <w:color w:val="000000"/>
          <w:sz w:val="20"/>
        </w:rPr>
        <w:t>Reconciliation from Net loss to Adjusted EBITDA</w:t>
      </w:r>
      <w:r>
        <w:rPr>
          <w:color w:val="000000"/>
        </w:rPr>
        <w:t xml:space="preserve">” </w:t>
      </w:r>
      <w:r>
        <w:rPr>
          <w:rFonts w:ascii="Times New Roman;serif" w:hAnsi="Times New Roman;serif"/>
          <w:b w:val="false"/>
          <w:color w:val="000000"/>
          <w:sz w:val="20"/>
        </w:rPr>
        <w:t>for a reconciliation of Adjusted EBITDA (as defined below) to the most directly comparable financial measure in accordance with accounting principles generally accepted in the U.S. (“ U.S. GAAP”).</w:t>
      </w:r>
    </w:p>
    <w:p>
      <w:pPr>
        <w:pStyle w:val="TextBody"/>
        <w:bidi w:val="0"/>
        <w:spacing w:lineRule="auto" w:line="288" w:before="240" w:after="283"/>
        <w:ind w:left="0" w:right="0" w:hanging="360"/>
        <w:jc w:val="both"/>
        <w:rPr/>
      </w:pPr>
      <w:r>
        <w:rPr>
          <w:rFonts w:ascii="Times New Roman;serif" w:hAnsi="Times New Roman;serif"/>
          <w:b w:val="false"/>
          <w:color w:val="000000"/>
          <w:sz w:val="20"/>
        </w:rPr>
        <w:t>(2)We define Time Spent as the estimated total number of hours spent by users on our owned and operated U.S. properties, our content on Apple News,</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X (formerly Twitter). There are inherent challenges in measuring the total actual number of hours spent with our content across all platforms; however, we consider the data reported by Comscore</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For the three months ended March 31, 2026, Time Spent decreased by 11%, consistent with broader industry trends, amongst our competitive set, according to Comscore.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Content Performance Metrics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certain metrics to assess the operational and financial performance of our business. Effective January 1, 2023, we introduced metrics with respect to our branded content revenue, which represents the majority of our reported direct sold content revenue (branded content is further defined within “Components of Results of Operations” below). Specifically, we monitor the performance of our branded content advertisers through retention and average trailing 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direct sold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following table sets forth certain operating metrics for our branded content revenue for the three months ended </w:t>
      </w:r>
      <w:r>
        <w:rPr>
          <w:rFonts w:ascii="Times New Roman;serif" w:hAnsi="Times New Roman;serif"/>
          <w:b w:val="false"/>
          <w:color w:val="000000"/>
          <w:sz w:val="20"/>
          <w:shd w:fill="FFFFFF" w:val="clear"/>
        </w:rPr>
        <w:t>March 31, 2026 and 2025</w:t>
      </w:r>
      <w:r>
        <w:rPr>
          <w:color w:val="000000"/>
        </w:rPr>
        <w:t xml:space="preserve"> </w:t>
      </w:r>
      <w:r>
        <w:rPr>
          <w:rFonts w:ascii="Times New Roman;serif" w:hAnsi="Times New Roman;serif"/>
          <w:b w:val="false"/>
          <w:color w:val="000000"/>
          <w:sz w:val="20"/>
        </w:rPr>
        <w:t>(on a trailing 12-month basis):</w:t>
      </w:r>
    </w:p>
    <w:tbl>
      <w:tblPr>
        <w:tblW w:w="6392" w:type="dxa"/>
        <w:jc w:val="left"/>
        <w:tblInd w:w="0" w:type="dxa"/>
        <w:tblLayout w:type="fixed"/>
        <w:tblCellMar>
          <w:top w:w="28" w:type="dxa"/>
          <w:left w:w="28" w:type="dxa"/>
          <w:bottom w:w="28" w:type="dxa"/>
          <w:right w:w="28" w:type="dxa"/>
        </w:tblCellMar>
      </w:tblPr>
      <w:tblGrid>
        <w:gridCol w:w="1538"/>
        <w:gridCol w:w="1348"/>
        <w:gridCol w:w="1358"/>
        <w:gridCol w:w="211"/>
        <w:gridCol w:w="406"/>
        <w:gridCol w:w="271"/>
        <w:gridCol w:w="109"/>
        <w:gridCol w:w="109"/>
        <w:gridCol w:w="109"/>
        <w:gridCol w:w="211"/>
        <w:gridCol w:w="406"/>
        <w:gridCol w:w="316"/>
      </w:tblGrid>
      <w:tr>
        <w:trPr/>
        <w:tc>
          <w:tcPr>
            <w:tcW w:w="15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branded content advertiser revenue retention</w:t>
            </w:r>
            <w:r>
              <w:rPr>
                <w:rFonts w:ascii="Times New Roman;serif" w:hAnsi="Times New Roman;serif"/>
                <w:b w:val="false"/>
                <w:color w:val="000000"/>
                <w:sz w:val="13"/>
              </w:rPr>
              <w:t>(1)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Branded content advertisers</w:t>
            </w:r>
            <w:r>
              <w:rPr>
                <w:rFonts w:ascii="Times New Roman;serif" w:hAnsi="Times New Roman;serif"/>
                <w:b w:val="false"/>
                <w:color w:val="000000"/>
                <w:sz w:val="13"/>
              </w:rPr>
              <w:t>(2)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&gt;19</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average branded content advertiser revenue</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branded content advertiser revenue retention is calculated by dividing the branded content revenue for the trailing 12 months from the close of the current reporting period, from advertisers who were also advertisers at the close of the same period in the prior year (the “base period”), by the branded content revenue for the trailing 12 months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ind w:left="0" w:right="0" w:firstLine="360"/>
        <w:jc w:val="both"/>
        <w:rPr/>
      </w:pPr>
      <w:r>
        <w:rPr>
          <w:rFonts w:ascii="Times New Roman;serif" w:hAnsi="Times New Roman;serif"/>
          <w:b/>
          <w:i/>
          <w:color w:val="000000"/>
          <w:sz w:val="20"/>
        </w:rPr>
        <w:t xml:space="preserve">Revenue: </w:t>
      </w:r>
      <w:r>
        <w:rPr>
          <w:rFonts w:ascii="Times New Roman;serif" w:hAnsi="Times New Roman;serif"/>
          <w:b w:val="false"/>
          <w:color w:val="000000"/>
          <w:sz w:val="20"/>
        </w:rPr>
        <w:t>The majority of our revenue is generated through the following types of arrangements: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Advertising: </w:t>
      </w:r>
      <w:r>
        <w:rPr>
          <w:rFonts w:ascii="Times New Roman;serif" w:hAnsi="Times New Roman;serif"/>
          <w:b w:val="false"/>
          <w:color w:val="000000"/>
          <w:sz w:val="20"/>
        </w:rPr>
        <w:t>Consists of display, programmatic, and video advertising on our owned and operated sites and applications and 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Content: </w:t>
      </w:r>
      <w:r>
        <w:rPr>
          <w:rFonts w:ascii="Times New Roman;serif" w:hAnsi="Times New Roman;serif"/>
          <w:b w:val="false"/>
          <w:color w:val="000000"/>
          <w:sz w:val="20"/>
        </w:rPr>
        <w:t xml:space="preserve">Includes revenue generated from creating content, including promotional content, and customer advertising (herein referred to as “branded content”). Additionally, studio revenue generally includes revenue from feature films, micro-dramas, content licensing, TV projects, and other projects inspired by BuzzFeed IP. Content revenue is recognized when the content, or the related action (click or view), is delivered.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Commerce and other: </w:t>
      </w:r>
      <w:r>
        <w:rPr>
          <w:rFonts w:ascii="Times New Roman;serif" w:hAnsi="Times New Roman;serif"/>
          <w:b w:val="false"/>
          <w:color w:val="000000"/>
          <w:sz w:val="20"/>
        </w:rPr>
        <w:t xml:space="preserve">Includes affiliate marketplace revenue and licensing of intellectual property. We participate in multiple marketplace arrangements with third parties, whereby we provide affiliate links which redirect the audience to purchase products and / or services from the third parties. When the participant purchases a product and / or service, we receive a commission fee for that sale from the third party. Affiliate marketplace revenue is recognized when a successful sale is made and the commission is earned. </w:t>
      </w:r>
    </w:p>
    <w:p>
      <w:pPr>
        <w:pStyle w:val="TextBody"/>
        <w:bidi w:val="0"/>
        <w:spacing w:lineRule="auto" w:line="288" w:before="240" w:after="283"/>
        <w:ind w:left="0" w:right="0" w:firstLine="360"/>
        <w:jc w:val="both"/>
        <w:rPr/>
      </w:pPr>
      <w:r>
        <w:rPr>
          <w:rFonts w:ascii="Times New Roman;serif" w:hAnsi="Times New Roman;serif"/>
          <w:b/>
          <w:i/>
          <w:color w:val="000000"/>
          <w:sz w:val="20"/>
        </w:rPr>
        <w:t>Cost of revenue, excluding depreciation and amortization:</w:t>
      </w:r>
      <w:r>
        <w:rPr>
          <w:color w:val="000000"/>
        </w:rPr>
        <w:t xml:space="preserve"> </w:t>
      </w:r>
      <w:r>
        <w:rPr>
          <w:rFonts w:ascii="Times New Roman;serif" w:hAnsi="Times New Roman;serif"/>
          <w:b w:val="false"/>
          <w:color w:val="000000"/>
          <w:sz w:val="20"/>
        </w:rPr>
        <w:t>Consists primarily of compensation-related expenses and costs incurred for the creation of editorial, promotional, and news content across all platforms, as well as amounts due to third-party websites and platforms to fulfill customers’ advertising campaigns. Production costs paid to third parties and web hosting and advertising serving platform costs are also included in cost of revenue, excluding depreciation and amortization.</w:t>
      </w:r>
    </w:p>
    <w:p>
      <w:pPr>
        <w:pStyle w:val="TextBody"/>
        <w:bidi w:val="0"/>
        <w:spacing w:lineRule="auto" w:line="288" w:before="240" w:after="283"/>
        <w:ind w:left="0" w:right="0" w:firstLine="360"/>
        <w:jc w:val="both"/>
        <w:rPr/>
      </w:pPr>
      <w:r>
        <w:rPr>
          <w:rFonts w:ascii="Times New Roman;serif" w:hAnsi="Times New Roman;serif"/>
          <w:b/>
          <w:i/>
          <w:color w:val="000000"/>
          <w:sz w:val="20"/>
        </w:rPr>
        <w:t>Sales and marketing</w:t>
      </w:r>
      <w:r>
        <w:rPr>
          <w:rFonts w:ascii="Times New Roman;serif" w:hAnsi="Times New Roman;serif"/>
          <w:b w:val="false"/>
          <w:color w:val="000000"/>
          <w:sz w:val="20"/>
        </w:rPr>
        <w:t>: Consists primarily of compensation-related expenses for sales employees. In addition, sales and marketing expenses include advertising costs and market research.</w:t>
      </w:r>
    </w:p>
    <w:p>
      <w:pPr>
        <w:pStyle w:val="TextBody"/>
        <w:bidi w:val="0"/>
        <w:spacing w:lineRule="auto" w:line="288" w:before="240" w:after="283"/>
        <w:ind w:left="0" w:right="0" w:firstLine="360"/>
        <w:jc w:val="both"/>
        <w:rPr/>
      </w:pPr>
      <w:r>
        <w:rPr>
          <w:rFonts w:ascii="Times New Roman;serif" w:hAnsi="Times New Roman;serif"/>
          <w:b/>
          <w:i/>
          <w:color w:val="000000"/>
          <w:sz w:val="20"/>
        </w:rPr>
        <w:t>General and administrative</w:t>
      </w:r>
      <w:r>
        <w:rPr>
          <w:rFonts w:ascii="Times New Roman;serif" w:hAnsi="Times New Roman;serif"/>
          <w:b w:val="false"/>
          <w:color w:val="000000"/>
          <w:sz w:val="20"/>
        </w:rPr>
        <w:t xml:space="preserve">: Consists of compensation-related expenses for corporate employees. Also, it consists of expenses for facilities, professional services fees, insurance costs, and other general overhead costs. </w:t>
      </w:r>
    </w:p>
    <w:p>
      <w:pPr>
        <w:pStyle w:val="TextBody"/>
        <w:bidi w:val="0"/>
        <w:spacing w:lineRule="auto" w:line="288" w:before="240" w:after="283"/>
        <w:ind w:left="0" w:right="0" w:firstLine="360"/>
        <w:jc w:val="both"/>
        <w:rPr/>
      </w:pPr>
      <w:r>
        <w:rPr>
          <w:rFonts w:ascii="Times New Roman;serif" w:hAnsi="Times New Roman;serif"/>
          <w:b/>
          <w:i/>
          <w:color w:val="000000"/>
          <w:sz w:val="20"/>
        </w:rPr>
        <w:t>Research and development:</w:t>
      </w:r>
      <w:r>
        <w:rPr>
          <w:color w:val="000000"/>
        </w:rPr>
        <w:t xml:space="preserve"> </w:t>
      </w:r>
      <w:r>
        <w:rPr>
          <w:rFonts w:ascii="Times New Roman;serif" w:hAnsi="Times New Roman;serif"/>
          <w:b w:val="false"/>
          <w:color w:val="000000"/>
          <w:sz w:val="20"/>
        </w:rPr>
        <w:t>Consists primarily of compensation-related expenses incurred for the development of, enhancements to, and maintenance of our website, technology platforms, data collection, and infrastructure. Research and development expenses that do not meet the criteria for capitalization are expensed as incurred.</w:t>
      </w:r>
    </w:p>
    <w:p>
      <w:pPr>
        <w:pStyle w:val="TextBody"/>
        <w:bidi w:val="0"/>
        <w:spacing w:lineRule="auto" w:line="288" w:before="240" w:after="283"/>
        <w:ind w:left="0" w:right="0" w:firstLine="360"/>
        <w:jc w:val="both"/>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Represents depreciation of property and equipment and amortization of intangible assets and capitalized software costs.</w:t>
      </w:r>
    </w:p>
    <w:p>
      <w:pPr>
        <w:pStyle w:val="TextBody"/>
        <w:bidi w:val="0"/>
        <w:spacing w:lineRule="auto" w:line="288" w:before="240" w:after="283"/>
        <w:ind w:left="0" w:right="0" w:firstLine="360"/>
        <w:jc w:val="both"/>
        <w:rPr/>
      </w:pPr>
      <w:r>
        <w:rPr>
          <w:rFonts w:ascii="Times New Roman;serif" w:hAnsi="Times New Roman;serif"/>
          <w:b/>
          <w:i/>
          <w:color w:val="000000"/>
          <w:sz w:val="20"/>
        </w:rPr>
        <w:t>Other (expense) income, net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Consists of foreign exchange gains and losses, gains and losses on investments, gains and losses on dispositions of subsidiaries, gains and losses on disposition of assets, income from transition service agreements, losses on extinguishments of debt, and other miscellaneous income and expenses.</w:t>
      </w:r>
    </w:p>
    <w:p>
      <w:pPr>
        <w:pStyle w:val="TextBody"/>
        <w:bidi w:val="0"/>
        <w:spacing w:lineRule="auto" w:line="288" w:before="240" w:after="283"/>
        <w:ind w:left="0" w:right="0" w:firstLine="360"/>
        <w:jc w:val="both"/>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Consists of interest expense incurred on our borrowings, net of interest income on interest bearing checking accounts.</w:t>
      </w:r>
    </w:p>
    <w:p>
      <w:pPr>
        <w:pStyle w:val="TextBody"/>
        <w:bidi w:val="0"/>
        <w:spacing w:lineRule="auto" w:line="288" w:before="240" w:after="283"/>
        <w:ind w:left="0" w:right="0" w:firstLine="450"/>
        <w:jc w:val="both"/>
        <w:rPr/>
      </w:pPr>
      <w:r>
        <w:rPr>
          <w:rFonts w:ascii="Times New Roman;serif" w:hAnsi="Times New Roman;serif"/>
          <w:b/>
          <w:i/>
          <w:color w:val="000000"/>
          <w:sz w:val="20"/>
        </w:rPr>
        <w:t>Change in fair value of warrant liabilities:</w:t>
      </w:r>
      <w:r>
        <w:rPr>
          <w:color w:val="000000"/>
        </w:rPr>
        <w:t xml:space="preserve"> </w:t>
      </w:r>
      <w:r>
        <w:rPr>
          <w:rFonts w:ascii="Times New Roman;serif" w:hAnsi="Times New Roman;serif"/>
          <w:b w:val="false"/>
          <w:color w:val="000000"/>
          <w:sz w:val="20"/>
        </w:rPr>
        <w:t>Reflects the changes in warrant liabilities, which is primarily based on the market price of our public warrants listed on The Nasdaq Capital Market under the symbol “BZFDW.” Refer to Note 4 to the condensed consolidated financial statements included elsewhere within this Quarterly Report on Form 10-Q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i/>
          <w:color w:val="000000"/>
          <w:sz w:val="20"/>
        </w:rPr>
        <w:t>Income tax (benefit) provision:</w:t>
      </w:r>
      <w:r>
        <w:rPr>
          <w:color w:val="000000"/>
        </w:rPr>
        <w:t xml:space="preserve"> </w:t>
      </w:r>
      <w:r>
        <w:rPr>
          <w:rFonts w:ascii="Times New Roman;serif" w:hAnsi="Times New Roman;serif"/>
          <w:b w:val="false"/>
          <w:color w:val="000000"/>
          <w:sz w:val="20"/>
        </w:rPr>
        <w:t>Represents federal, state, and local taxes based on income in multiple domestic and international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results for the three months ended March 31, 2026 and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data for each of the periods presented (in thousands):</w:t>
      </w:r>
    </w:p>
    <w:tbl>
      <w:tblPr>
        <w:tblW w:w="8199" w:type="dxa"/>
        <w:jc w:val="left"/>
        <w:tblInd w:w="0" w:type="dxa"/>
        <w:tblLayout w:type="fixed"/>
        <w:tblCellMar>
          <w:top w:w="28" w:type="dxa"/>
          <w:left w:w="28" w:type="dxa"/>
          <w:bottom w:w="28" w:type="dxa"/>
          <w:right w:w="28" w:type="dxa"/>
        </w:tblCellMar>
      </w:tblPr>
      <w:tblGrid>
        <w:gridCol w:w="1864"/>
        <w:gridCol w:w="1638"/>
        <w:gridCol w:w="1657"/>
        <w:gridCol w:w="211"/>
        <w:gridCol w:w="796"/>
        <w:gridCol w:w="109"/>
        <w:gridCol w:w="109"/>
        <w:gridCol w:w="109"/>
        <w:gridCol w:w="109"/>
        <w:gridCol w:w="211"/>
        <w:gridCol w:w="796"/>
        <w:gridCol w:w="109"/>
        <w:gridCol w:w="109"/>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Costs and expenses included in stock-based compensation expense are included in the condensed consolidated statements of operations as follows (in thousands):</w:t>
      </w:r>
    </w:p>
    <w:tbl>
      <w:tblPr>
        <w:tblW w:w="7680" w:type="dxa"/>
        <w:jc w:val="left"/>
        <w:tblInd w:w="0" w:type="dxa"/>
        <w:tblLayout w:type="fixed"/>
        <w:tblCellMar>
          <w:top w:w="28" w:type="dxa"/>
          <w:left w:w="28" w:type="dxa"/>
          <w:bottom w:w="28" w:type="dxa"/>
          <w:right w:w="28" w:type="dxa"/>
        </w:tblCellMar>
      </w:tblPr>
      <w:tblGrid>
        <w:gridCol w:w="1740"/>
        <w:gridCol w:w="1528"/>
        <w:gridCol w:w="1532"/>
        <w:gridCol w:w="230"/>
        <w:gridCol w:w="672"/>
        <w:gridCol w:w="119"/>
        <w:gridCol w:w="119"/>
        <w:gridCol w:w="119"/>
        <w:gridCol w:w="119"/>
        <w:gridCol w:w="230"/>
        <w:gridCol w:w="672"/>
        <w:gridCol w:w="119"/>
        <w:gridCol w:w="109"/>
        <w:gridCol w:w="109"/>
        <w:gridCol w:w="109"/>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val="false"/>
          <w:color w:val="000000"/>
          <w:sz w:val="20"/>
        </w:rPr>
        <w:t>The following table sets forth our condensed consolidated statements of operations data for each of the periods presented as a percentage of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8168" w:type="dxa"/>
        <w:jc w:val="left"/>
        <w:tblInd w:w="0" w:type="dxa"/>
        <w:tblLayout w:type="fixed"/>
        <w:tblCellMar>
          <w:top w:w="28" w:type="dxa"/>
          <w:left w:w="28" w:type="dxa"/>
          <w:bottom w:w="28" w:type="dxa"/>
          <w:right w:w="28" w:type="dxa"/>
        </w:tblCellMar>
      </w:tblPr>
      <w:tblGrid>
        <w:gridCol w:w="1864"/>
        <w:gridCol w:w="1638"/>
        <w:gridCol w:w="1657"/>
        <w:gridCol w:w="233"/>
        <w:gridCol w:w="233"/>
        <w:gridCol w:w="498"/>
        <w:gridCol w:w="200"/>
        <w:gridCol w:w="200"/>
        <w:gridCol w:w="200"/>
        <w:gridCol w:w="233"/>
        <w:gridCol w:w="233"/>
        <w:gridCol w:w="498"/>
        <w:gridCol w:w="109"/>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(1)Percentages have been rounded for presentation purposes and may differ from non-rounded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 was as follows (in thousands):</w:t>
      </w:r>
    </w:p>
    <w:tbl>
      <w:tblPr>
        <w:tblW w:w="6178" w:type="dxa"/>
        <w:jc w:val="left"/>
        <w:tblInd w:w="0" w:type="dxa"/>
        <w:tblLayout w:type="fixed"/>
        <w:tblCellMar>
          <w:top w:w="28" w:type="dxa"/>
          <w:left w:w="28" w:type="dxa"/>
          <w:bottom w:w="28" w:type="dxa"/>
          <w:right w:w="28" w:type="dxa"/>
        </w:tblCellMar>
      </w:tblPr>
      <w:tblGrid>
        <w:gridCol w:w="651"/>
        <w:gridCol w:w="573"/>
        <w:gridCol w:w="576"/>
        <w:gridCol w:w="211"/>
        <w:gridCol w:w="721"/>
        <w:gridCol w:w="109"/>
        <w:gridCol w:w="109"/>
        <w:gridCol w:w="109"/>
        <w:gridCol w:w="109"/>
        <w:gridCol w:w="211"/>
        <w:gridCol w:w="721"/>
        <w:gridCol w:w="109"/>
        <w:gridCol w:w="109"/>
        <w:gridCol w:w="109"/>
        <w:gridCol w:w="109"/>
        <w:gridCol w:w="218"/>
        <w:gridCol w:w="218"/>
        <w:gridCol w:w="507"/>
        <w:gridCol w:w="109"/>
        <w:gridCol w:w="109"/>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revenue decreased by $4.2 million, or 20%, for the three months ended March 31, 2026, driven by a $2.8 million decrease in programmatic advertising revenue and a $1.4 million decline in direct sold advertising products. For the three months ended March 31, 2026 and 2025, programmatic advertising revenue was $14.0 million and $16.9 million, respectively, and direct sold advertising revenue was $3.1 million and $4.5 million, respectively. The decline in programmatic advertising reflects traffic headwinds, which offset improved pricing and monetization efficiency, and the decline in direct sold advertising reflects reduced advertiser demand and broader macroeconomic headwinds. We expect advertising revenue to decline in the short-term for these reasons.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Content revenue increased by $3.1 million, or 69%, for the three months ended March 31, 2026, driven by a $1.6 million increase in studio revenue and a $1.5 million increase in direct sold content revenue. For the three months ended March 31, 2026 and 2025, studio revenue was $3.1 million and $1.5 million, respectively, and direct sold content revenue was $4.4 million and $2.9 million, respectively. The increase in studio revenue was largely driven by the timing of revenue recognition with respect to delivery and release of a feature film and an increase in revenue from micro-dramas, partially offset by a decline in revenue associated with other non-recurring studio projects. The increase in direct sold content revenue was primarily driven by a bespoke direct sold content campaign that began in 2026, with no comparable revenue in the year-ago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Commerce and other decreased by $3.3 million, or 32%, for the three months ended March 31, 2026, driven by a $3.0 million decrease in affiliate commerce revenue and a $0.3 million decline in other revenue. For the three months ended March 31, 2026 and 2025, affiliate commerce revenue was $6.8 million and $9.8 million, respectively, and other revenue, such as product licensing, was $0.1 million and $0.4 million, respectively. The decline in affiliate commerce revenue reflects an intentional reduction in marketing spend as we manage liquidity. We expect affiliate commerce revenue to decline in the short-term for these reasons.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tbl>
      <w:tblPr>
        <w:tblW w:w="9474" w:type="dxa"/>
        <w:jc w:val="left"/>
        <w:tblInd w:w="0" w:type="dxa"/>
        <w:tblLayout w:type="fixed"/>
        <w:tblCellMar>
          <w:top w:w="28" w:type="dxa"/>
          <w:left w:w="28" w:type="dxa"/>
          <w:bottom w:w="28" w:type="dxa"/>
          <w:right w:w="28" w:type="dxa"/>
        </w:tblCellMar>
      </w:tblPr>
      <w:tblGrid>
        <w:gridCol w:w="1740"/>
        <w:gridCol w:w="1528"/>
        <w:gridCol w:w="1532"/>
        <w:gridCol w:w="211"/>
        <w:gridCol w:w="721"/>
        <w:gridCol w:w="271"/>
        <w:gridCol w:w="109"/>
        <w:gridCol w:w="109"/>
        <w:gridCol w:w="109"/>
        <w:gridCol w:w="211"/>
        <w:gridCol w:w="721"/>
        <w:gridCol w:w="271"/>
        <w:gridCol w:w="109"/>
        <w:gridCol w:w="109"/>
        <w:gridCol w:w="109"/>
        <w:gridCol w:w="204"/>
        <w:gridCol w:w="204"/>
        <w:gridCol w:w="507"/>
        <w:gridCol w:w="109"/>
        <w:gridCol w:w="109"/>
        <w:gridCol w:w="109"/>
        <w:gridCol w:w="109"/>
        <w:gridCol w:w="109"/>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excluding depreciation and amortization, decreased by $1.1 million, or 5%, for the three months ended March 31, 2026, driven by a $1.9 million decrease in restructuring expenses, partially offset by a $0.6 million increase in variable cost of revenue driven by changes in the product mix (primarily lower-margin studio revenue, particularly feature films).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6786" w:type="dxa"/>
        <w:jc w:val="left"/>
        <w:tblInd w:w="0" w:type="dxa"/>
        <w:tblLayout w:type="fixed"/>
        <w:tblCellMar>
          <w:top w:w="28" w:type="dxa"/>
          <w:left w:w="28" w:type="dxa"/>
          <w:bottom w:w="28" w:type="dxa"/>
          <w:right w:w="28" w:type="dxa"/>
        </w:tblCellMar>
      </w:tblPr>
      <w:tblGrid>
        <w:gridCol w:w="829"/>
        <w:gridCol w:w="730"/>
        <w:gridCol w:w="735"/>
        <w:gridCol w:w="211"/>
        <w:gridCol w:w="616"/>
        <w:gridCol w:w="271"/>
        <w:gridCol w:w="109"/>
        <w:gridCol w:w="109"/>
        <w:gridCol w:w="109"/>
        <w:gridCol w:w="211"/>
        <w:gridCol w:w="616"/>
        <w:gridCol w:w="271"/>
        <w:gridCol w:w="109"/>
        <w:gridCol w:w="109"/>
        <w:gridCol w:w="109"/>
        <w:gridCol w:w="218"/>
        <w:gridCol w:w="218"/>
        <w:gridCol w:w="507"/>
        <w:gridCol w:w="109"/>
        <w:gridCol w:w="109"/>
        <w:gridCol w:w="109"/>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$0.8 million, or 19%, for the three months ended March 31, 2026, driven by a $0.9 million decrease in compensation and related expenses reflecting our previous cost savings actions, partially offset by a $0.2 million increase in consulting and other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6983" w:type="dxa"/>
        <w:jc w:val="left"/>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04"/>
        <w:gridCol w:w="204"/>
        <w:gridCol w:w="507"/>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$1.2 million, or 8%, for the three months ended March 31, 2026, driven by a $0.6 million decrease in compensation expense reflecting our previous cost savings actions and attrition, a $0.4 million decrease in professional fees, and a $0.3 million decrease in insurance expense.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6801" w:type="dxa"/>
        <w:jc w:val="left"/>
        <w:tblInd w:w="0" w:type="dxa"/>
        <w:tblLayout w:type="fixed"/>
        <w:tblCellMar>
          <w:top w:w="28" w:type="dxa"/>
          <w:left w:w="28" w:type="dxa"/>
          <w:bottom w:w="28" w:type="dxa"/>
          <w:right w:w="28" w:type="dxa"/>
        </w:tblCellMar>
      </w:tblPr>
      <w:tblGrid>
        <w:gridCol w:w="837"/>
        <w:gridCol w:w="734"/>
        <w:gridCol w:w="738"/>
        <w:gridCol w:w="211"/>
        <w:gridCol w:w="616"/>
        <w:gridCol w:w="271"/>
        <w:gridCol w:w="109"/>
        <w:gridCol w:w="109"/>
        <w:gridCol w:w="109"/>
        <w:gridCol w:w="211"/>
        <w:gridCol w:w="616"/>
        <w:gridCol w:w="271"/>
        <w:gridCol w:w="109"/>
        <w:gridCol w:w="109"/>
        <w:gridCol w:w="109"/>
        <w:gridCol w:w="218"/>
        <w:gridCol w:w="218"/>
        <w:gridCol w:w="507"/>
        <w:gridCol w:w="109"/>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by $0.7 million, or 24%, for the three months ended March 31, 2026, driven by a $0.8 million decrease in compensation expenses reflecting our previous cost savings actions, partially offset by a $0.1 million increase in stock-based compensation and other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7086" w:type="dxa"/>
        <w:jc w:val="left"/>
        <w:tblInd w:w="0" w:type="dxa"/>
        <w:tblLayout w:type="fixed"/>
        <w:tblCellMar>
          <w:top w:w="28" w:type="dxa"/>
          <w:left w:w="28" w:type="dxa"/>
          <w:bottom w:w="28" w:type="dxa"/>
          <w:right w:w="28" w:type="dxa"/>
        </w:tblCellMar>
      </w:tblPr>
      <w:tblGrid>
        <w:gridCol w:w="939"/>
        <w:gridCol w:w="826"/>
        <w:gridCol w:w="829"/>
        <w:gridCol w:w="211"/>
        <w:gridCol w:w="616"/>
        <w:gridCol w:w="271"/>
        <w:gridCol w:w="109"/>
        <w:gridCol w:w="109"/>
        <w:gridCol w:w="109"/>
        <w:gridCol w:w="211"/>
        <w:gridCol w:w="616"/>
        <w:gridCol w:w="271"/>
        <w:gridCol w:w="109"/>
        <w:gridCol w:w="109"/>
        <w:gridCol w:w="109"/>
        <w:gridCol w:w="218"/>
        <w:gridCol w:w="218"/>
        <w:gridCol w:w="507"/>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depreciation and amortization expenses decreased by $0.9 million, or 19%, primarily driven by less depreciation associated with certain leasehold improvements which were fully depreciated during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(expense) income, net:</w:t>
      </w:r>
    </w:p>
    <w:tbl>
      <w:tblPr>
        <w:tblW w:w="6773" w:type="dxa"/>
        <w:jc w:val="left"/>
        <w:tblInd w:w="0" w:type="dxa"/>
        <w:tblLayout w:type="fixed"/>
        <w:tblCellMar>
          <w:top w:w="28" w:type="dxa"/>
          <w:left w:w="28" w:type="dxa"/>
          <w:bottom w:w="28" w:type="dxa"/>
          <w:right w:w="28" w:type="dxa"/>
        </w:tblCellMar>
      </w:tblPr>
      <w:tblGrid>
        <w:gridCol w:w="863"/>
        <w:gridCol w:w="760"/>
        <w:gridCol w:w="762"/>
        <w:gridCol w:w="211"/>
        <w:gridCol w:w="541"/>
        <w:gridCol w:w="271"/>
        <w:gridCol w:w="109"/>
        <w:gridCol w:w="109"/>
        <w:gridCol w:w="109"/>
        <w:gridCol w:w="211"/>
        <w:gridCol w:w="616"/>
        <w:gridCol w:w="271"/>
        <w:gridCol w:w="109"/>
        <w:gridCol w:w="109"/>
        <w:gridCol w:w="109"/>
        <w:gridCol w:w="304"/>
        <w:gridCol w:w="304"/>
        <w:gridCol w:w="306"/>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pPr>
      <w:r>
        <w:rPr>
          <w:rFonts w:ascii="Times New Roman;serif" w:hAnsi="Times New Roman;serif"/>
          <w:b w:val="false"/>
          <w:color w:val="000000"/>
          <w:sz w:val="20"/>
          <w:shd w:fill="FFFFFF" w:val="clear"/>
        </w:rPr>
        <w:t xml:space="preserve">We recorded other </w:t>
      </w:r>
      <w:r>
        <w:rPr>
          <w:rFonts w:ascii="Times New Roman;serif" w:hAnsi="Times New Roman;serif"/>
          <w:b w:val="false"/>
          <w:color w:val="000000"/>
          <w:sz w:val="20"/>
        </w:rPr>
        <w:t>expense</w:t>
      </w:r>
      <w:r>
        <w:rPr>
          <w:rFonts w:ascii="Times New Roman;serif" w:hAnsi="Times New Roman;serif"/>
          <w:b w:val="false"/>
          <w:color w:val="000000"/>
          <w:sz w:val="20"/>
          <w:shd w:fill="FFFFFF" w:val="clear"/>
        </w:rPr>
        <w:t xml:space="preserve">, net of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for the three months ended March 31, 2026, compared to other income, net of $1.3 million for the three months ended March 31, 2025. The change of $1.6 million was primarily driven by a $</w:t>
      </w:r>
      <w:r>
        <w:rPr>
          <w:rFonts w:ascii="Times New Roman;serif" w:hAnsi="Times New Roman;serif"/>
          <w:b w:val="false"/>
          <w:color w:val="000000"/>
          <w:sz w:val="20"/>
        </w:rPr>
        <w:t xml:space="preserve">1.5 </w:t>
      </w:r>
      <w:r>
        <w:rPr>
          <w:rFonts w:ascii="Times New Roman;serif" w:hAnsi="Times New Roman;serif"/>
          <w:b w:val="false"/>
          <w:color w:val="000000"/>
          <w:sz w:val="20"/>
          <w:shd w:fill="FFFFFF" w:val="clear"/>
        </w:rPr>
        <w:t xml:space="preserve">million change in exchange (loss) gain, primarily unrealized ($0.8 million loss recorded during the current year compared to a $0.7 million gain recorded during the prior year). </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6909" w:type="dxa"/>
        <w:jc w:val="left"/>
        <w:tblInd w:w="0" w:type="dxa"/>
        <w:tblLayout w:type="fixed"/>
        <w:tblCellMar>
          <w:top w:w="28" w:type="dxa"/>
          <w:left w:w="28" w:type="dxa"/>
          <w:bottom w:w="28" w:type="dxa"/>
          <w:right w:w="28" w:type="dxa"/>
        </w:tblCellMar>
      </w:tblPr>
      <w:tblGrid>
        <w:gridCol w:w="831"/>
        <w:gridCol w:w="730"/>
        <w:gridCol w:w="734"/>
        <w:gridCol w:w="211"/>
        <w:gridCol w:w="691"/>
        <w:gridCol w:w="271"/>
        <w:gridCol w:w="109"/>
        <w:gridCol w:w="109"/>
        <w:gridCol w:w="109"/>
        <w:gridCol w:w="211"/>
        <w:gridCol w:w="691"/>
        <w:gridCol w:w="271"/>
        <w:gridCol w:w="109"/>
        <w:gridCol w:w="109"/>
        <w:gridCol w:w="109"/>
        <w:gridCol w:w="204"/>
        <w:gridCol w:w="204"/>
        <w:gridCol w:w="507"/>
        <w:gridCol w:w="109"/>
        <w:gridCol w:w="109"/>
        <w:gridCol w:w="109"/>
        <w:gridCol w:w="109"/>
        <w:gridCol w:w="109"/>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increased by $0.4 million, or 31%, for the three months ended March 31, 2026, reflecting more cumulative debt outstanding during the current year. Refer to Note 8 to the condensed consolidated financial statements included elsewhere within this Quarterly Report on Form 10-Q for additional details.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7817" w:type="dxa"/>
        <w:jc w:val="left"/>
        <w:tblInd w:w="0" w:type="dxa"/>
        <w:tblLayout w:type="fixed"/>
        <w:tblCellMar>
          <w:top w:w="28" w:type="dxa"/>
          <w:left w:w="28" w:type="dxa"/>
          <w:bottom w:w="28" w:type="dxa"/>
          <w:right w:w="28" w:type="dxa"/>
        </w:tblCellMar>
      </w:tblPr>
      <w:tblGrid>
        <w:gridCol w:w="1248"/>
        <w:gridCol w:w="1099"/>
        <w:gridCol w:w="1103"/>
        <w:gridCol w:w="213"/>
        <w:gridCol w:w="471"/>
        <w:gridCol w:w="274"/>
        <w:gridCol w:w="110"/>
        <w:gridCol w:w="110"/>
        <w:gridCol w:w="110"/>
        <w:gridCol w:w="213"/>
        <w:gridCol w:w="623"/>
        <w:gridCol w:w="274"/>
        <w:gridCol w:w="109"/>
        <w:gridCol w:w="109"/>
        <w:gridCol w:w="109"/>
        <w:gridCol w:w="218"/>
        <w:gridCol w:w="218"/>
        <w:gridCol w:w="507"/>
        <w:gridCol w:w="109"/>
        <w:gridCol w:w="109"/>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recorded a gain related to the change in fair value of warrant liabilities of $0.1 million compared to a gain of $1.2 million for the three months ended March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(benefit) provision:</w:t>
      </w:r>
    </w:p>
    <w:tbl>
      <w:tblPr>
        <w:tblW w:w="6918" w:type="dxa"/>
        <w:jc w:val="left"/>
        <w:tblInd w:w="0" w:type="dxa"/>
        <w:tblLayout w:type="fixed"/>
        <w:tblCellMar>
          <w:top w:w="28" w:type="dxa"/>
          <w:left w:w="28" w:type="dxa"/>
          <w:bottom w:w="28" w:type="dxa"/>
          <w:right w:w="28" w:type="dxa"/>
        </w:tblCellMar>
      </w:tblPr>
      <w:tblGrid>
        <w:gridCol w:w="935"/>
        <w:gridCol w:w="821"/>
        <w:gridCol w:w="824"/>
        <w:gridCol w:w="231"/>
        <w:gridCol w:w="592"/>
        <w:gridCol w:w="296"/>
        <w:gridCol w:w="119"/>
        <w:gridCol w:w="119"/>
        <w:gridCol w:w="119"/>
        <w:gridCol w:w="231"/>
        <w:gridCol w:w="395"/>
        <w:gridCol w:w="296"/>
        <w:gridCol w:w="109"/>
        <w:gridCol w:w="109"/>
        <w:gridCol w:w="109"/>
        <w:gridCol w:w="304"/>
        <w:gridCol w:w="304"/>
        <w:gridCol w:w="306"/>
        <w:gridCol w:w="109"/>
        <w:gridCol w:w="109"/>
        <w:gridCol w:w="109"/>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Company’s effective tax rate differed from the U.S. federal statutory income tax rate of 21% primarily due to limited tax benefits provided for against its current year pre-tax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loss, as the Company maintains a full valuation allowance against its U.S. deferred tax assets that are not realizable on a more-likely-than-not basis, and the results of foreign operations.</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was signed into law. These changes include provisions allowing accelerated tax deductions for qualified property and research expenditures. There was not a material impact of these law changes on our condensed consolidated financial statements. </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excluding the impact of net (loss) income attributable to noncontrolling interests, income tax (benefit) provision, interest expense, net, other expense (income), net, depreciation and amortization, stock-based compensation, change in fair value of warrant liabilities, restructuring costs, amortization of capitalized interest for content, and other non-cash and non-recurring items that management believes are not indicative of ongoing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a substitute for loss before income taxes, net loss, or net loss attributable to BuzzFeed, Inc. that we have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Reconciliation from Net loss to Adjusted EBITDA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consolidated net loss to Adjusted EBITDA for the periods presented:</w:t>
      </w:r>
    </w:p>
    <w:tbl>
      <w:tblPr>
        <w:tblW w:w="7134" w:type="dxa"/>
        <w:jc w:val="left"/>
        <w:tblInd w:w="0" w:type="dxa"/>
        <w:tblLayout w:type="fixed"/>
        <w:tblCellMar>
          <w:top w:w="28" w:type="dxa"/>
          <w:left w:w="28" w:type="dxa"/>
          <w:bottom w:w="28" w:type="dxa"/>
          <w:right w:w="28" w:type="dxa"/>
        </w:tblCellMar>
      </w:tblPr>
      <w:tblGrid>
        <w:gridCol w:w="1480"/>
        <w:gridCol w:w="1292"/>
        <w:gridCol w:w="1322"/>
        <w:gridCol w:w="211"/>
        <w:gridCol w:w="796"/>
        <w:gridCol w:w="109"/>
        <w:gridCol w:w="109"/>
        <w:gridCol w:w="109"/>
        <w:gridCol w:w="109"/>
        <w:gridCol w:w="211"/>
        <w:gridCol w:w="796"/>
        <w:gridCol w:w="109"/>
        <w:gridCol w:w="109"/>
        <w:gridCol w:w="109"/>
        <w:gridCol w:w="109"/>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capitalized interest for content</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231F20"/>
          <w:sz w:val="20"/>
          <w:shd w:fill="FFFFFF" w:val="clear"/>
        </w:rPr>
        <w:t xml:space="preserve">Refer to elsewhere above in Item 2. “Management’s Discussion and Analysis of Financial Condition and Results of Operations” herein for a discussion of the distinct restructuring activities </w:t>
      </w:r>
      <w:r>
        <w:rPr>
          <w:rFonts w:ascii="Times New Roman;serif" w:hAnsi="Times New Roman;serif"/>
          <w:b w:val="false"/>
          <w:color w:val="231F20"/>
          <w:sz w:val="20"/>
        </w:rPr>
        <w:t>during the three months ended March 31, 2025. 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231F20"/>
          <w:sz w:val="20"/>
        </w:rPr>
      </w:pPr>
      <w:r>
        <w:rPr>
          <w:rFonts w:ascii="Times New Roman;serif" w:hAnsi="Times New Roman;serif"/>
          <w:b w:val="false"/>
          <w:color w:val="231F20"/>
          <w:sz w:val="20"/>
        </w:rPr>
        <w:t>(2)Reflects the non-cash amortization of interest costs that were capitalized as part of capitalized film costs; this add-back aligns the treatment of capitalized interest with the exclusion of interest expense from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and cash equivalents and cash generated from operations. Our cash and cash equivalents consist of demand deposits with financial institutions and investments in money market funds.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generally incurred significant losses and used cash flows from operations to grow our owned and operated properties and iconic brands. During the three months ended March 31, 2026, we incurred a net loss of $15.1 million and generated cash flows from operations of $2.7 million. Additionally, as of March 31, 2026, we had unrestricted cash and cash equivalents of $6.8 million and an accumulated deficit of $694.7 million.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restricted cash balance of $15.8 million relates to funds held in Company-owned deposit accounts that are pledged as collateral for our existing letters of credit for certain office lease arrangements and, upon the expiration of certain of these letters of credit, approximately $15.0 million is required to be paid to our lenders under the Credit Agreement (as defined under “Term Loan” below), which also includes a $5.0 million minimum cash covenant ($3.5 million through April 30, 2026, as discussed within Note 8 to the condensed consolidated financial statements included elsewhere within this Quarterly Report on Form 10-Q).</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disclosed within Note 8 to the condensed consolidated financial statements included elsewhere within this Quarterly Report on Form 10-Q, in May 2025, we secured a $40.0 million asset-backed Term Loan (as amended, and defined under “Term Loan” below) and used a portion of the proceeds to repay, in full, the Notes. In August 2025, we received an incremental $5.0 million under the Second Amended Credit Agreement (as defined under “Term Loan” below), which was due on February 20, 2026 (as extended to April 30, 2026, and further extended to May 18, 2026, as discussed within Notes 8 and 19 to the condensed consolidated financial statements included elsewhere within this Quarterly Report on Form 10-Q).</w:t>
      </w:r>
    </w:p>
    <w:p>
      <w:pPr>
        <w:pStyle w:val="TextBody"/>
        <w:bidi w:val="0"/>
        <w:spacing w:lineRule="auto" w:line="288" w:before="240" w:after="283"/>
        <w:ind w:left="0" w:right="0" w:firstLine="360"/>
        <w:jc w:val="both"/>
        <w:rPr/>
      </w:pPr>
      <w:r>
        <w:rPr>
          <w:rFonts w:ascii="Times New Roman;serif" w:hAnsi="Times New Roman;serif"/>
          <w:b w:val="false"/>
          <w:color w:val="000000"/>
          <w:sz w:val="20"/>
        </w:rPr>
        <w:t>As further disclosed in Note 14 to the condensed consolidated financial statements included elsewhere within this Quarterly Report on Form 10-Q, our Class A common stock experienced a significant decline whereby the trading price remained below $1.00 per share for a sustained period and has continued to remain below $1.00 as of the issuance date. However, in order to remain in compliance with Nasdaq market listing requirements, our Class A common stock price must exceed $1.00 per share for a specified minimum period (i.e., at least 10 consecutive business days). As a result of the decline in its stock price, we received a notice of noncompliance from Nasdaq on March 2, 2026, notifying us that we had until August 31, 2026 to regain compliance. If we are not able to regain compliance and, as such, our Class A common stock is delisted from Nasdaq, we will be faced with a number of significant material adverse consequences, including limited availability of market quotations for our Class A common stock; limited news and analyst coverage; decreased ability to obtain additional financing or failure to comply with the covenants required by any indebtedness; limited liquidity for our stockholders due to thin trading; and a potential loss of confidence by investors, employees, and other third parties who do business with us</w:t>
      </w:r>
      <w:r>
        <w:rPr>
          <w:rFonts w:ascii="Arial;sans-serif" w:hAnsi="Arial;sans-serif"/>
          <w:b w:val="false"/>
          <w:color w:val="000000"/>
          <w:sz w:val="20"/>
        </w:rPr>
        <w: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conditions and events raise substantial doubt about our ability to continue as a going concern.</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To address our capital needs, we may explore options to restructure our outstanding debt, and we are working to optimize our consolidated balance sheet. As described in Note 19 to the condensed consolidated financial statements included elsewhere within this Quarterly Report on Form 10-Q, on May </w:t>
      </w:r>
      <w:r>
        <w:rPr>
          <w:rFonts w:ascii="Times New Roman;serif" w:hAnsi="Times New Roman;serif"/>
          <w:b w:val="false"/>
          <w:color w:val="000000"/>
          <w:sz w:val="20"/>
          <w:shd w:fill="FFF7C3" w:val="clear"/>
        </w:rPr>
        <w:t>11</w:t>
      </w:r>
      <w:r>
        <w:rPr>
          <w:rFonts w:ascii="Times New Roman;serif" w:hAnsi="Times New Roman;serif"/>
          <w:b w:val="false"/>
          <w:color w:val="000000"/>
          <w:sz w:val="20"/>
        </w:rPr>
        <w:t xml:space="preserve">, 2026, the Company entered into a Stock Purchase Agreement with an investor for the sale of 40,000,000 shares of our Class A common stock. The aggregate consideration of $3.00 per share payable by the Investor is comprised of (i) $20.0 million in cash to be paid to us at the closing of the transaction, and (ii) a five-year secured promissory note in the principal amount of $100.0 million to be issued to us at the closing of the transaction. While the transaction contemplated by the Stock Purchase Agreement is expected to close prior to the end of May 2026, we can provide no assurance that the closing will occur on the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timeline, or at all. Refer to Note 19 to the condensed consolidated financial statements included elsewhere within this Quarterly Report on Form 10-Q for additional details.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can provide no assurance that we will generate sufficient cash inflows from operations, that we will be successful in obtaining such new financing, or that we will be able to optimize our condensed consolidated balance sheet in a manner necessary to fund our obligations as they become due over the next 12 months beyond the issuance date. Additionally, we may implement incremental cost savings actions and pursue additional sources of outside capital to supplement our funding obligations as they become due, which includes additional offerings of our Class A common stock under the at-the-market offering (refer to Note 9 to the condensed consolidated financial statements included elsewhere within this Quarterly Report on Form 10-Q for additional details). However, as of the issuance date, no additional sources of outside capital have been secured or were deemed probable of being secured, other than our at-the-market offering, which is subject to the conditions contained in the At-The-Market Offering agreement dated June 20, 2023 with Craig-Hallum Capital Group LLC, and the Share Purchase Agreement with Allen Family Digital, LLC, as discussed further in Note 19 to the condensed consolidated financial statements included elsewhere within this Quarterly Report on Form 10-Q. We can provide no assurance that we will successfully generate sufficient liquidity to fund our operations for the next 12 months beyond the issuance date, or if necessary, secure additional outside capital (including through our at-the-market offering) or implement incremental cost savings.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on an ongoing basis, we are evaluating strategic changes to our operations, including asset divestitures, restructuring,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As of the issuance date, we continue to work on optimizing our condensed consolidated balance sheet and evaluate our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liquidity position as of March 31, 2026 and our current forecast of operating results and cash flows, in the absence of any of the above-described plans to address our capital needs, we anticipate that we will not have sufficient resources to fund our cash obligations for the next 12 months following the issuance date. In addition, we have concluded that the above-described plans do not alleviate substantial doubt about our ability to continue as a going concern.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do not include any adjustments relating to the recoverability and classification of recorded assets or the amounts and classification of liabilities that may result from the outcome of these uncertainties.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Standby Letters of Credit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2024, we entered into an agreement with a financial institution for standby letters of credit in the amount of $15.5 million, which were issued during the second quarter of 2024 in favor of certain of our landlords, and remain outstanding as of March 31, 2026. Additionally, during the first quarter of 2025, we entered into an agreement with a financial institution for a standby letter of credit in the amount of approximately $2.9 million, which was issued in the first quarter of 2025 in favor of the landlord for our corporate headquarters and remains outstanding as of March 31, 2026. Refer to Note 13 to the condensed consolidated financial statements included elsewhere within this Quarterly Report on Form 10-Q for additional details regarding our corporate headquarters.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we entered into subscription agreements with certain investors to sell $150.0 million aggregate principal amount of Notes. In connection with the closing of the Business Combination, we issued, and those investors purchased, the Notes, which were governed by an indenture, dated December 3, 2021, which was amended on each of July 10, 2023, February 28, 2024, October 28, 2024, and December 10, 2024 (i.e., the “Indenture”). The Notes were convertible into shares of our Class A common stock at a conversion price of approximately $50.00 and bore interest at a rate of 8.5% per annum, payable semi-annually.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repurchased approximately $120.0 million of the Notes in 2024, and the remaining $30.0 million of the Notes were repurchased in 2025. The Indenture has been satisfied and discharged in full, except for those provisions that expressly survive as provided in Section 3.01 of the Indenture, including without limitation, Section 7.06 of the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23, 2025 (the “Closing Date”), we entered into a credit agreement (the “Credit Agreement”) with a financial institution that provides for, among other things, an asset-backed term loan (i.e., the Term Loan), with a commitment amount of the greater $40.0 million and a borrowing base calculated as a percentage of the face amount of certain eligible receivables, plus an overadvance amount of up to $25.0 million from August 25, 2025 through April 30, 2026 (as discussed below), $20.0 million through August 31, 2026, and thereafter $10.0 million until the second anniversary of the Closing Date, and $5.0 million thereafter. We borrowed $40.0 million on the Closing Date. The Term Loan matures on May 23, 2028, and bears interest at the rate of Secured Overnight Financing Rate (“SOFR”), plus 6.5% per annum, subject to a SOFR floor of 3.5%. We are required to repay $15.0 million of the Term Loan on August 31, 2026, upon the contractual expiration of certain of our outstanding standby letters of credit. The Term Loan is guaranteed by certain of the our domestic and Canadian subsidiaries. The Term Loan’s lender has a first lien on substantially all of our assets and the Guarantors (as defined in the Credit Agreement). Pursuant to the Credit Agreement, we must maintain minimum liquidity of $5.0 million ($3.5 million through April 30, 2026, as described below). No other financial maintenance covenants are applicable, and we were in compliance with the aforementioned covenant as of March 31,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25, 2025, we entered into the Amendment No. 2 to Credit Agreement (the “Second Amended Credit Agreement,” as amended, supplemented, or otherwise modified from time to time prior to the Second Amended Credit Agreement, the “Credit Agreement”), which provided for an incremental loan commitment of $5.0 million, which was required to be repaid in full on February 20, 2026. We borrowed the incremental $5.0 million on August 25,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Amended Credit Agreement also provides for a permitted overadvance of $25.0 million from August 25, 2025, through February 20, 2026 (the Third Amended Credit Agreement extended the $25.0 million overadvance through April 30, 2026, as discussed below).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we entered into a consent letter with the Term Loan’s lenders and agent, thereby extending the repayment date until February 27, 2026. On February 27, 2026, we entered into a second consent letter with the Term Loan’s lenders and agents, thereby further extending the repayment date until March 6, 2026.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we entered into Amendment No. 3 to Credit Agreement (the “Third Amended Credit Agreement,” as amended, supplemented, or otherwise modified from time to time prior to the Third Amended Credit Agreement, the “Credit Agreement”), which provided for an extension of the $5.0 million due date to April 30, 2026, and during the period from, and including March 6, 2026 to and including the date the $5.0 million is repaid, an incremental 2.0% rate of interest will apply (above the rate otherwise applicable under the Credit Agreement). Additionally, the minimum liquidity covenant of $5.0 million was reduced to $3.5 million at all times on or prior to April 30, 2026, and then it reverts back to $5.0 million at all times thereafter. The Third Amended Credit Agreement incurred a non-refundable amendment fee of approximately $0.2 million, which was paid in March 2026. Additionally, the Third Amended Credit Agreement established four operational milestones, three of which were required to be achieved by March 31, 2026 and the remaining milestone by April 30, 2026, each subject to a penalty of approximately $0.2 million if not satisfied by the specified deadline. One operational milestone was not achieved as of March 31, 2026, and therefore we were required to remit $0.2 million to the Lender (paid in April 2026). As a result of this modification, we determined the modified terms were not substantially different from the original debt terms and applied modification accounting, utilizing the original cash flows in the cash flow test since the debt was modified more than once in one year.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final operational milestone dated April 30, 2026 was not met, and therefore we were required to remit $0.2 million to the Lender (paid in May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19 to the condensed consolidated financial statements included elsewhere within this Quarterly Report on Form 10-Q for details surrounding the Fourth Amended Credit Agreement (as defined therein), which extends the $5.0 million due date to May 18, 2026, among other things.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$45.0 million aggregate principal amount of indebtedness associated with the Term Loan remains outstanding as of March 31, 2026.</w:t>
      </w:r>
    </w:p>
    <w:p>
      <w:pPr>
        <w:pStyle w:val="TextBody"/>
        <w:bidi w:val="0"/>
        <w:spacing w:lineRule="auto" w:line="288" w:before="240" w:after="283"/>
        <w:jc w:val="both"/>
        <w:rPr/>
      </w:pPr>
      <w:r>
        <w:rPr>
          <w:rFonts w:ascii="Times New Roman;serif" w:hAnsi="Times New Roman;serif"/>
          <w:b/>
          <w:i/>
          <w:color w:val="000000"/>
          <w:sz w:val="20"/>
        </w:rPr>
        <w:t>Girls Like Girls Film Inc. Indebtedness</w:t>
      </w:r>
      <w:r>
        <w:rPr>
          <w:color w:val="000000"/>
        </w:rPr>
        <w:t xml:space="preserve"> </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2025, BuzzFeed Studios Canada, Inc., an indirectly held subsidiary of ours, acquired a majority stock interest in Girls Like Girls Film Inc. Upon acquisition, Girls Like Girls Film Inc. had debt of approximately $4.8 million (CAD $6.6 million), of which $4.0 million was required to be repaid with proceeds from a contract with a third party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distribution rights for a feature film, and the remaining $0.8 million was due when Girls Like Girls Film Inc. received expected production tax credits. $3.6 million was repaid in September 2025 and $1.0 million was repaid in December 2025, resulting in a remaining balance of approximately $0.2 million as of December 31, 2025. The remaining balance was paid in February 2026, and this debt facility is now closed. Refer to Note 8 to the condensed consolidated financial statements included elsewhere within this Quarterly Report on Form 10-Q for additional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through indirectly held subsidiaries, enter into various film financing arrangements in order to cash flow feature films in various phases of production. These arrangements commonly utilize both short-term and long-term debt instruments, including both general credit facilities as well as financing secured by anticipated future cash flows, such as expected production tax credits or the value of current and prospective contractual arrangements with third parties. The lenders of these film financing arrangements often have a first priority lien in all of the aforementioned indirectly held subsidiaries’ assets until all outstanding indebtedness is repaid. Furthermore, these film financing arrangements are often funded in installments over time, and often require repayment in installments or tranches. Interest and other fees are often fixed, unless in the event of default. Some of these arrangements require funds to be remitted directly to the lenders from tax authorities or the Company’s customers.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interest expense associated with film financing arrangements is generally fixed, debt discount / issuance costs are capitalized and included in film costs, net within the condensed consolidated balance sheets. These capitalized costs are amortized to cost of revenue, excluding depreciation and amortization, using the individual film forecast method, under which amortization is recognized in proportion to the ratio of current period revenue recognized to the film’s estimated remaining ultimate revenues (i.e., the total revenue to be received over the period of 10 years following release).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carrying value (which approximates the principal amount) of short-term debt and long-term debt associated with film financing arrangements totaled $11.1 million and $4.3 million, respectively. As of December 31, 2025, the carrying value / principal amount of short-term debt and long-term debt associated with film financing arrangements totaled $11.1 million and $3.9 million, respectively. Refer to Note 8 to the condensed consolidated financial statements included elsewhere within this Quarterly Report on Form 10-Q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flows provided by (used in) operating, investing, and financing activities were as follows for the periods presented:</w:t>
      </w:r>
    </w:p>
    <w:tbl>
      <w:tblPr>
        <w:tblW w:w="5618" w:type="dxa"/>
        <w:jc w:val="left"/>
        <w:tblInd w:w="0" w:type="dxa"/>
        <w:tblLayout w:type="fixed"/>
        <w:tblCellMar>
          <w:top w:w="28" w:type="dxa"/>
          <w:left w:w="28" w:type="dxa"/>
          <w:bottom w:w="28" w:type="dxa"/>
          <w:right w:w="28" w:type="dxa"/>
        </w:tblCellMar>
      </w:tblPr>
      <w:tblGrid>
        <w:gridCol w:w="1150"/>
        <w:gridCol w:w="1013"/>
        <w:gridCol w:w="1016"/>
        <w:gridCol w:w="229"/>
        <w:gridCol w:w="671"/>
        <w:gridCol w:w="118"/>
        <w:gridCol w:w="118"/>
        <w:gridCol w:w="118"/>
        <w:gridCol w:w="118"/>
        <w:gridCol w:w="229"/>
        <w:gridCol w:w="671"/>
        <w:gridCol w:w="167"/>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At-The-Market-Offering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were able to sell up to 3,316,503 shares of our Class A common stock. In July 2024, we increased the size of the offering available under the At-The-Market-Offering Agreement to $150.0 million. As of March 31, 2026, we sold, in the aggregate, 1,153,345 shares of our Class A common stock, at an average price of $2.52 per share, for aggregate net proceeds of $2.8 million after deducting commissions and offering expenses. We used the aggregate net proceeds for general corporate purposes. There were no proceeds raised related to this offering during the three months ended March 31, 2026, and there were $nil proceeds raised related to this offering during the three months ended March 31,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cash provided by operating activities was $2.7 million compared $1.3 million for the three months ended March 31, 2025. The change was primarily driven by a $7.4 million increase in the change in accounts payable, a $2.2 million increase in the change in accounts receivable, a $1.2 million increase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 in prepaid expenses and other current assets and prepaid expenses and other assets, a $0.8 million increase in the change in lease liabilities, a $0.3 million increase in the change in accrued compensation, and a $0.2 million increase in the change in film costs. These were partially offset by a $5.8 million decrease in the change in accrued expenses, other current liabilities, and other liabilities, a $2.6 million decrease in the change deferred revenue, and a $2.4 million reduction in net loss, adjusted for non-cash items.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used in investing activities was $4.1 million, which consisted of $4.0 million of capital expenditures on internal-use software and $0.2 million of other capital expenditures, partially offset by $0.1 million of proceeds received from the sale of an asset.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cash used in investing activities was $3.4 million, which consisted of $3.1 million of capital expenditures on internal-use software and $0.4 million of other capital expenditures, partially offset by $0.3 million in proceeds received from the previous sale of an asset.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For the three months ended March 31, 2026, cash used in financing activities w</w:t>
      </w:r>
      <w:r>
        <w:rPr>
          <w:rFonts w:ascii="Times New Roman;serif" w:hAnsi="Times New Roman;serif"/>
          <w:b w:val="false"/>
          <w:color w:val="000000"/>
          <w:sz w:val="20"/>
        </w:rPr>
        <w:t>as $0.2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which consisted of $0.3 million in pa</w:t>
      </w:r>
      <w:r>
        <w:rPr>
          <w:rFonts w:ascii="Times New Roman;serif" w:hAnsi="Times New Roman;serif"/>
          <w:b w:val="false"/>
          <w:color w:val="000000"/>
          <w:sz w:val="20"/>
          <w:shd w:fill="FFFFFF" w:val="clear"/>
        </w:rPr>
        <w:t xml:space="preserve">yments of debt issuance / modification costs associated with the Term Loan and </w:t>
      </w:r>
      <w:r>
        <w:rPr>
          <w:rFonts w:ascii="Times New Roman;serif" w:hAnsi="Times New Roman;serif"/>
          <w:b w:val="false"/>
          <w:color w:val="000000"/>
          <w:sz w:val="20"/>
        </w:rPr>
        <w:t>$0.2 million in repayments of film financing facilities. These were partially offset by $0.4 million in borrowings from film financing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cash used in financing activities was $2.5 million, which consisted of $2.1 million in consent solicitation fee payments and a $0.3 million partial repurchase of the Notes.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consist of obligations for repayment of borrowings under the Term Loan and film financing arrangements, along with obligations for office space under non-cancelable operating leases with various expiration dates through 2031 (assumes the early termination option afforded under the lease for our corporate headquarters is exercised; otherwise, 2036). Refer to Notes 8 and 13 to the condensed consolidated financial statements included elsewhere in this Quarterly Report on Form 10-Q for additional details regarding our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and related notes in accordance with U.S.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Refer to “Management’s Discussion and Analysis of Financial Condition and Results of Operations” contained in Part II, Item 7 of our Annual Report on Form 10-K for the fiscal year ended December 31, 2025 for a more complete discussion of our critical accounting policies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and Issued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 Accounting Election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may not be comparable to companies that comply with new or revised accounting standards as of public company effective dates.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disclosures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under the JOBS Act until December 31, 2026 (i.e., the last day of our fiscal year following the fifth anniversary of 890’s initial public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operations both within the U.S. and internationally, and we are exposed to market risks in the ordinary course of our business. These risks include primarily foreign currency exchange, interest rate fluctuation and equity investment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transact business in various foreign currencies and obtain international revenue, as well as incur costs denominated in foreign currencies — primarily the British pound, Japanese yen, Australian dollar,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which primarily include changes in interest rates. We receive interest payments on our cash and cash equivalents, including on our money market accounts. Changes in interest rates may impact the interest income we recognize in the future. The effect of a hypothetical 10% change in interest rates applicable to our business would not have a material impact on our condensed consolidated financial statements for the three months ended March 31, 2026 or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transactions. The carrying value of our investment was $0.8 million as of both March 31, 2026 and December 31, 2025. Refer to Note 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us in our reports under the Securities Exchange Act of 1934, as amended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controls over financial reporting described below. Based upon that evaluation, our Chief Executive Officer and Chief Financial Officer concluded that, as of March 31, 2026, the period covered in this report, our disclosure controls and procedures were not effective.</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Notwithstanding the assessment that our disclosure controls and procedures are not effective and that material weakness existed as of March 31, 2026, we believe that we have performed sufficient supplementary procedures to ensure that the condensed consolidated financial statements contained in this filing fairly present, in all material respects, our financial position, results of operations, and cash flows for all periods presented, in accordance with U.S. Generally Accepted Accounting Principles.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audit of our consolidated financial statements as of, and for the years ended, December 31, 2025, our management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identified related to financial statement close process. Specifically, deficiencies around the flow of information and supporting documentation across departments to the financial accounting team, the accuracy and completeness of information used in the controls, and sufficient precision and timeliness of reviews of account reconciliations and related analyses.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 Remediation</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improve our processes and control activities and are testing the design and operating effectiveness of our newly implemented and enhanced controls as remediation progresses.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Company has made considerable progress, we will not be able to fully remediate the remaining portion of the above material weakness within the financial statement close process until we have designed and implemented the remaining planned corrective actions and controls, and tested such controls to demonstrate these controls operate effectively for a sufficient period of time. Our management will continue to monitor the effectiveness of our remediation plans in future periods and will make the changes management determines to be appropriate.</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remediation of these deficiencies has required, and will continue to require, a significant amount of time and resources from management and other personnel.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the remediation efforts described above, there were no changes in our internal control over financial reporting (as such term is defined in Rules 13a-15(f) and 15d-15(f) of the Exchange Act) during the quarter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other legal proceedings in which we are involved, refer to Note 14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about our existing risk factors is set forth in Item 1A, “Risk Factors,” in our Annual Report on Form 10-K for the fiscal year ended December 31, 2025. Other than as described below, our risk factors have not changed materially since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Uncertainties associated with the Stock Purchase Agreement with Allen Family Digital, LLC could adversely affect our business, results of operations, financial condition, and stock price, among other things. </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we announced our entry into a Stock Purchase Agreement (the “Agreement”) with Allen Family Digital, LLC (the “Investor”), pursuant to which we agreed to sell to the Investor, and the Investor agreed to purchase from us, 40,000,000 shares of our Class A common stock, par value $0.0001 per share (the “Transaction”). The aggregate consideration of $3.00 per share payable by the Investor is comprised of (i) $20.0 million in cash to be paid to the Company at the closing of the Transaction, and (ii) a five-year secured promissory note in the principal amount of $100.0 million (the “Promissory Note”) to be issued to the Company at the closing of the Transaction. Refer to Note 19 to the condensed consolidated financial statements included elsewhere within this Quarterly Report on Form 10-Q for additional details. </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Uncertainties associated with the announcement of the Transaction could have adverse effects on our business, results of operations, financial condition, and stock price. These risks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distraction of our current personnel as a result of the Transaction, which could result in a decline in their productivity or cause distractions in the workplace;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difficulties attracting and retaining key personnel;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diversion of a significant amount of management time and resources towards completion of the Transaction;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significant or unexpected costs, charges, or expenses resulting from the proposed Transaction;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potential litigation relating to the Transaction that could prevent or delay the Transaction, require the Company to spend resources, or otherwise negatively impact the Company’s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Failure to complete the Transaction within the expected timeframe, or at all, could require us to seek alternative sources of liquidity, which could adversely affect our business. </w:t>
      </w:r>
    </w:p>
    <w:p>
      <w:pPr>
        <w:pStyle w:val="TextBody"/>
        <w:bidi w:val="0"/>
        <w:spacing w:lineRule="auto" w:line="276" w:before="240" w:after="283"/>
        <w:ind w:left="0" w:right="0" w:firstLine="360"/>
        <w:jc w:val="both"/>
        <w:rPr/>
      </w:pPr>
      <w:r>
        <w:rPr>
          <w:rFonts w:ascii="Times New Roman;serif" w:hAnsi="Times New Roman;serif"/>
          <w:b w:val="false"/>
          <w:color w:val="000000"/>
          <w:sz w:val="20"/>
        </w:rPr>
        <w:t>The closing of the Transaction may not occur on the expected timeline or at all. While it is currently anticipated that the Transaction will be consummated 10 days after our shareholders are notified of the Transaction in accordance with Nasdaq requirements (which is</w:t>
      </w:r>
      <w:r>
        <w:rPr>
          <w:color w:val="000000"/>
        </w:rPr>
        <w:t xml:space="preserve"> </w:t>
      </w:r>
      <w:r>
        <w:rPr>
          <w:rFonts w:ascii="Times New Roman;serif" w:hAnsi="Times New Roman;serif"/>
          <w:b w:val="false"/>
          <w:color w:val="000000"/>
          <w:sz w:val="20"/>
        </w:rPr>
        <w:t>expected to occur before the end of May 2026), we cannot assure you that the Transaction will be consummated on a timely basis or at all, and unforeseen events or circumstances could arise which impact our ability to consummate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Transaction does not close within the anticipated timeframe, we may be required to seek alternative sources of liquidity to fund our operations. Such financing may not be available on favorable terms, or at all. Any inability to secure additional capital when needed could have a material adverse effect on our financial condition, results of operations, and our ability to execute our business strategy.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Lawsuits may be filed against us, our officers, and our Board of Directors with respect to the Transaction, including our reliance on an exception granted by Nasdaq on Nasdaq’s shareholder approval and voting rights requirements, which could delay or impact the Transaction, or following the closing of the Transaction, adversely affect our business and operations. </w:t>
      </w:r>
    </w:p>
    <w:p>
      <w:pPr>
        <w:pStyle w:val="TextBody"/>
        <w:bidi w:val="0"/>
        <w:spacing w:lineRule="auto" w:line="276"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Lawsuits, claims and other legal proceedings have been filed against us in the past and additional lawsuits, claims or proceedings may be filed against us in the future, including lawsuits, claims or proceedings against the Company, its officers and / or members of our Board of Directors with respect to the Transaction and / or our reliance on an exception to Nasdaq’s shareholder approval requirements. In particular, on May 11, 2026, Nasdaq approved an exception to Listing Rule 5635 (Shareholder Approval) and Listing Rule 5640 (Voting Rights) in connection with the issuance and sale of the Shares. Our reliance on this exception, and the resulting issuance of shares of additional Class A common stock without a prior stockholder vote, may increase the likelihood of stockholder lawsuits, claims, or other legal proceedings. Any such litigation could delay or impact the Transaction and / or adversely affect our business, results of operations, and / or financial condition. </w:t>
      </w:r>
    </w:p>
    <w:p>
      <w:pPr>
        <w:pStyle w:val="TextBody"/>
        <w:bidi w:val="0"/>
        <w:spacing w:before="0" w:after="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outcome of any such lawsuits, claims or other legal proceedings is inherently uncertain. We may not be successful in defending against future lawsuits, claims, or other legal proceedings and, whether successful or not, we may incur significant costs in defending against such litigation. The filing or commencement of such lawsuits, claims or other legal proceedings could result in the issuance of an injunction preventing the Transaction from closing and / or the award of monetary or equitable relief, divert the attention of management from day-to-day operations, and otherwise materially and adversely affect our business, results of operations, and financial condition.</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transition of our Chief Executive Officer and the shift in Board and stockholder control may lead to strategic shifts and potential conflicts of interest.</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 our current Chief Executive Officer (“CEO”), Jonah Peretti, will transition into a new role within the Company and Byron Allen will be appointed as the new CEO. Additionally, our Board of Directors will be expanded to nine members, with our current CEO retaining the right to appoint only one director. Furthermore, upon the closing of the Transaction, the Investor will own approximately 52% of our outstanding common stock and will have the right to appoint five out of the eight members of the Board. Following the 2026 annual meeting of the Company’s stockholders, the Investor will have the right to appoint six of the nine members of the Board.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transition and shift in control involves several risks: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Management Transition:</w:t>
      </w:r>
      <w:r>
        <w:rPr>
          <w:color w:val="000000"/>
        </w:rPr>
        <w:t xml:space="preserve"> </w:t>
      </w:r>
      <w:r>
        <w:rPr>
          <w:rFonts w:ascii="Times New Roman;serif" w:hAnsi="Times New Roman;serif"/>
          <w:b w:val="false"/>
          <w:color w:val="000000"/>
          <w:sz w:val="20"/>
        </w:rPr>
        <w:t>While our current CEO will remain with the company in a different capacity, the change in leadership may result in a shift in corporate culture or management style, which could disrupt our operations or lead to the loss of other key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Concentrated Investor Control:</w:t>
      </w:r>
      <w:r>
        <w:rPr>
          <w:color w:val="000000"/>
        </w:rPr>
        <w:t xml:space="preserve"> </w:t>
      </w:r>
      <w:r>
        <w:rPr>
          <w:rFonts w:ascii="Times New Roman;serif" w:hAnsi="Times New Roman;serif"/>
          <w:b w:val="false"/>
          <w:color w:val="000000"/>
          <w:sz w:val="20"/>
        </w:rPr>
        <w:t>As a 52% stockholder, the Investor will have the power to elect a majority of our Board of Directors and determine the outcome of most matters requiring stockholder approval. This concentration of ownership may delay, deter, or prevent a change in control that other stockholders might consider favorable.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Board Composition:</w:t>
      </w:r>
      <w:r>
        <w:rPr>
          <w:color w:val="000000"/>
        </w:rPr>
        <w:t xml:space="preserve"> </w:t>
      </w:r>
      <w:r>
        <w:rPr>
          <w:rFonts w:ascii="Times New Roman;serif" w:hAnsi="Times New Roman;serif"/>
          <w:b w:val="false"/>
          <w:color w:val="000000"/>
          <w:sz w:val="20"/>
        </w:rPr>
        <w:t>With our current CEO appointing only one of nine directors, legacy management will have limited influence over Board-level decisions. The Investor-controlled Board may pursue strategies or transactions that prioritize the Investor’s interests, which may differ from the interests of our other stockholders.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Controlled Company” Status:</w:t>
      </w:r>
      <w:r>
        <w:rPr>
          <w:color w:val="000000"/>
        </w:rPr>
        <w:t xml:space="preserve"> </w:t>
      </w:r>
      <w:r>
        <w:rPr>
          <w:rFonts w:ascii="Times New Roman;serif" w:hAnsi="Times New Roman;serif"/>
          <w:b w:val="false"/>
          <w:color w:val="000000"/>
          <w:sz w:val="20"/>
        </w:rPr>
        <w:t>We may be considered a "controlled company" under the rules of the Nasdaq, which could exempt us from certain corporate governance requirements, such as the requirement to have a majority of independent directors or independent compensation and nominating committees.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Limited Public Company Experience:</w:t>
      </w:r>
      <w:r>
        <w:rPr>
          <w:color w:val="000000"/>
        </w:rPr>
        <w:t xml:space="preserve"> </w:t>
      </w:r>
      <w:r>
        <w:rPr>
          <w:rFonts w:ascii="Times New Roman;serif" w:hAnsi="Times New Roman;serif"/>
          <w:b w:val="false"/>
          <w:color w:val="000000"/>
          <w:sz w:val="20"/>
        </w:rPr>
        <w:t xml:space="preserve">Members of our management team have limited experience managing a publicly traded company and navigating the complex regulatory environment for public companies. We are subject to significant regulatory oversight and reporting obligations under the federal securities laws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continuous scrutiny of securities analysts and investors. These obligations and constituents require significant attention from our senior management, and failure to retain key personnel could adversely affect our business, financial condition, and operating results.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There is no assurance that the Promissory Note being issued by the Investor as partial consideration for the shares of Class A Common Stock will be repaid in full or at all, or that the Investor will have sufficient cash resources to pay interest on the Promissory Note prior to maturity or at all.</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consideration of $3.00 per share payable by the Investor for 40,000,000 shares of Class A Common Stock is comprised of (i) $20.0 million in cash to be paid to the Company at the closing of the Transaction, and (ii) a five-year secured Promissory Note in the principal amount of $100.0 million to be issued to the Company at the closing of the Transaction. The Promissory Note bears interest at a rate of 5% per annum, with interest payable semi-annually on the last business day of each June and December. The Promissory Note matures on the fifth anniversary of the Closing Date (as defined in the Agreement) and is prepayable at any time at the Investor’s option without any prepayment penalty. The Promissory Note is secured by a first priority security interest in 33.3 million of the shares of Class A Common Stock issued to the Investor.</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To the Company’s knowledge, the Investor is a newly-formed entity that will not own, at the time of closing of the transaction, additional assets other than the 40,000,000 shares of Class A common stock which it is purchasing.</w:t>
      </w:r>
      <w:r>
        <w:rPr>
          <w:color w:val="000000"/>
        </w:rPr>
        <w:t xml:space="preserve"> </w:t>
      </w:r>
      <w:r>
        <w:rPr>
          <w:rFonts w:ascii="Times New Roman;serif" w:hAnsi="Times New Roman;serif"/>
          <w:b w:val="false"/>
          <w:color w:val="000000"/>
          <w:sz w:val="20"/>
        </w:rPr>
        <w:t>Accordingly, there is no assurance that the Investor will have sufficient cash resources to repay the Promissory Note in five years at its maturity or to pay interest on the Promissory Note prior to maturity.</w:t>
      </w:r>
      <w:r>
        <w:rPr>
          <w:color w:val="000000"/>
        </w:rPr>
        <w:t xml:space="preserve"> </w:t>
      </w:r>
      <w:r>
        <w:rPr>
          <w:rFonts w:ascii="Times New Roman;serif" w:hAnsi="Times New Roman;serif"/>
          <w:b w:val="false"/>
          <w:color w:val="000000"/>
          <w:sz w:val="20"/>
        </w:rPr>
        <w:t>If there is an event of default under the Promissory Note, the Company would be able to foreclose on the collateral securing the Promissory Note, which consists of 33.3 million of the shares of Class A Common Stock being purchased by the Investor, but there is no assurance as to the value of such collateral at the time of any foreclosure.</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consummation of the transaction pursuant to the Stock Purchase Agreement will cause substantial dilution to our stockholders.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Stock Purchase Agreement with the Investor, we have agreed to issue 40,000,000 shares to the Investor at the consummation of the Transaction. As of May 5, 2026, the Company had outstanding 36,296,018 shares of Class A common stock and 1,342,709 shares of Class B common stock. Accordingly, the issuance of 40,000,000 shares to the Investor will result in substantial dilution to our shareholders. We may also issue additional shares of Class A common stock in the future in connection with equity awards or for capital raising or other purposes, which would result in additional dilution to our shareholders. This dilution could have an adverse impact on the trading price of our Class A common stock and could result in increased volatility in our stock price.</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The trading price of our Class A common stock may continue to be volatile.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Class A common stock has been volatile in the recent period and we cannot assure you that this volatility will not continue in the future. In particular, we cannot assure you how the announcement of the Transaction with the Investor will impact the trading price of our Class A common stock, and the trading of our Class A common stock may continue to be volatile following the announcement and consummation of this Transaction. While the Company believes that the transaction with the Investor is in the best interest of the Company and its stockholders, there is no assurance that our stock price will not decline in the near or long term as a result of or following the announcement. </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The public resale by the Investor of Class A common stock received in the Transaction, or the perception in the market that such resales could occur, could have a negative effect on the trading price of the Class A common stock following consummation of the Transaction.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issue issue 40,000,000 shares of Class A common stock to the Investor upon the consummation of the Transaction. None of these shares will be registered under the Securities Act of 1933, as amended, and they will only be able to be sold pursuant to a separate registration statement or an applicable exemption from registration. However, we will be required to file a resale registration statement on an appropriate form to register the resale of these shares in the public market upon the request of the Investor. Once registered, the shares held by the Investor will be freely tradable and will not be subject to any restrictions or require further registration. </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resale by the Investor of Class A common stock received in the Transaction, or the perception in the market that such resales could occur, could have a negative effect on the trading price of the Class A common stock following consummation of the Transaction. Any such sale of our Class A common stock could also make it more difficult for us to raise capital by selling equity or equity-linked securities at a time and price that we otherwise would deem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pPr>
      <w:r>
        <w:rPr>
          <w:rFonts w:ascii="Times New Roman;serif" w:hAnsi="Times New Roman;serif"/>
          <w:b/>
          <w:i/>
          <w:color w:val="000000"/>
          <w:sz w:val="20"/>
        </w:rPr>
        <w:t>We are evaluating a potential separation of BuzzFeed Studios, Inc., which may not be successful.</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11, 2026, we announced a strategic plan to separate its studio (including vertical micro-dramas, animation, digital video, and premium studio including feature films) and Tasty business units into a standalone, independent entity, BuzzFeed Studios, Inc., to attract new investors. This process is in its preliminary stages, and our Board of Directors has not yet formally approved a definitive plan. This process is in its preliminary stages, and our Board of Directors has not yet formally approved a definitive plan. There can be no assurance as to the specific structure of this potential reorganization, the timing of its implementation, or whether this evaluation will result in a sale, a strategic partnership, or any other transaction. The process of exploring such a separation requires significant management time and resources, which may divert attention from our core digital media operations. If we are unable to successfully execute this transition, we may fail to realize the anticipated benefits of increased operational focus or a more streamlined corporate structure.</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Our ongoing restructuring initiatives are in the early stages, and we may be unable to accurately estimate their costs or achieve the anticipated savings.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in the process of developing and implementing significant cost-reduction measures, including workforce reductions, real estate consolidation, and increased automation. Because these initiatives are in the early stages of planning, we cannot currently estimate the range of restructuring charges we will incur or the timing of such expenditures. These changes may result in unintended consequences, such as diminished employee morale, the loss of key personnel, or disruptions to our content production and AI-integration efforts. If our restructuring efforts are not successful or if the actual costs of implementation significantly exceed our internal projections, our results of operations and ability to reach a sustainable liquidity profile will be negatively impacted. </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business strategy and direction of the Company may shift following the consummation of the Transaction pursuant to the Stock Purchase Agreement, and pursuant to any potential transaction involving BuzzFeed Studios, Inc.</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consummation of the Transaction with Allen Family Digital, LLC, Jonah Peretti, our current CEO, will transition to a new role as President of BuzzFeed AI. In this capacity, Mr. Peretti will focus on the development of new AI-driven products and content formats intended to enhance social connection and creative expression. While this shift allows for dedicated innovation in emerging technologies, the transition of a long-term CEO to a specialized role may result in changes to our broader management priorities and corporate culture. </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this transformation, we are also evaluating the potential separation of BuzzFeed Studios, Inc., which encompasses our high-touch video production (including feature films and micro-dramas) and legacy lifestyle brands like Tasty. This strategy is designed to streamline the Company’s operational focus, but it creates several risks: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Shift in Operational Identity:</w:t>
      </w:r>
      <w:r>
        <w:rPr>
          <w:color w:val="000000"/>
        </w:rPr>
        <w:t xml:space="preserve"> </w:t>
      </w:r>
      <w:r>
        <w:rPr>
          <w:rFonts w:ascii="Times New Roman;serif" w:hAnsi="Times New Roman;serif"/>
          <w:b w:val="false"/>
          <w:color w:val="000000"/>
          <w:sz w:val="20"/>
        </w:rPr>
        <w:t>By divesting the Studios business, the Company will look and operate differently than it has in the past. While our core publishing business and editorial teams will continue to produce content, the loss of our signature "legacy" video infrastructure may alter our brand’s cultural authority and how our audience perceives our creative capabilities.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Risks of AI-Augmented Media:</w:t>
      </w:r>
      <w:r>
        <w:rPr>
          <w:color w:val="000000"/>
        </w:rPr>
        <w:t xml:space="preserve"> </w:t>
      </w:r>
      <w:r>
        <w:rPr>
          <w:rFonts w:ascii="Times New Roman;serif" w:hAnsi="Times New Roman;serif"/>
          <w:b w:val="false"/>
          <w:color w:val="000000"/>
          <w:sz w:val="20"/>
        </w:rPr>
        <w:t>Our success depends in part on the adoption of new AI products and technologies designed to facilitate human creativity. In the media industry, the integration of AI involves significant uncertainties, including evolving regulatory requirements, potential brand safety concerns, and the risk that these new formats may not achieve the same viral engagement as our traditional video and editorial content.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Market Reception of New Formats:</w:t>
      </w:r>
      <w:r>
        <w:rPr>
          <w:color w:val="000000"/>
        </w:rPr>
        <w:t xml:space="preserve"> </w:t>
      </w:r>
      <w:r>
        <w:rPr>
          <w:rFonts w:ascii="Times New Roman;serif" w:hAnsi="Times New Roman;serif"/>
          <w:b w:val="false"/>
          <w:color w:val="000000"/>
          <w:sz w:val="20"/>
        </w:rPr>
        <w:t>There is no guarantee that the AI-driven social experiences and apps we are developing will be embraced by our audience or advertisers. If these new products fail to generate sustainable revenue or if the market perceives our shift away from a studio-centric model unfavorably, our business and financial results may be adversely affected.</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Ultimately, we are re-engineering the Company to balance our editorial roots with a new suite of AI-enhanced tools. This transition makes our future results difficult to predict compared to our 20-year history as a traditional digital media entity.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64"/>
        <w:gridCol w:w="2642"/>
        <w:gridCol w:w="376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Agreement and Plan of Merger, dated as of June 24, 2021, by and among 890 5th Avenue Partners, Inc., Bolt Merger Sub I, Inc., Bolt Merger Sub II, Inc., and BuzzFeed, Inc. (incorporated by reference to Exhibit 2.1 to the Company’s Current Report on Form 8-K filed on June 24,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"https://www.sec.gov/Archives/edgar/data/1828972/000110465921136139/tm2122219-17_s4a.htm" \l "tANNA1"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Agreement and Plan of Merger, dated as of October 28, 2021, by and among 890 5th Avenue Partners, Inc., Bolt Merger Sub I, Inc., Bolt Merger Sub II, Inc., and BuzzFeed, Inc.</w:t>
            </w:r>
            <w:r>
              <w:rPr>
                <w:rStyle w:val="InternetLink"/>
                <w:sz w:val="20"/>
                <w:u w:val="single"/>
                <w:b w:val="false"/>
                <w:rFonts w:ascii="Times New Roman;serif" w:hAnsi="Times New Roman;serif"/>
                <w:color w:val="0000FF"/>
              </w:rPr>
              <w:fldChar w:fldCharType="end"/>
            </w:r>
            <w:r>
              <w:rPr>
                <w:color w:val="000000"/>
              </w:rPr>
              <w:t xml:space="preserve"> </w:t>
            </w:r>
            <w:hyperlink r:id="rId3">
              <w:r>
                <w:rPr>
                  <w:rStyle w:val="InternetLink"/>
                  <w:rFonts w:ascii="Times New Roman;serif" w:hAnsi="Times New Roman;serif"/>
                  <w:b w:val="false"/>
                  <w:color w:val="0000FF"/>
                  <w:sz w:val="20"/>
                  <w:u w:val="single"/>
                </w:rPr>
                <w:t>(incorporated by reference to Exhibit 2.2 to the Company’s Registration Statement on Form S-4/A filed on October 29,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Membership Interest Purchase Agreement, dated as of March 27, 2021, by and among BuzzFeed, Inc., CM Partners, LLC, Complex Media, Inc., Verizon CMP Holdings LLC and HDS II, Inc.</w:t>
              </w:r>
            </w:hyperlink>
            <w:r>
              <w:rPr>
                <w:color w:val="000000"/>
              </w:rPr>
              <w:t xml:space="preserve"> </w:t>
            </w:r>
            <w:hyperlink r:id="rId5">
              <w:r>
                <w:rPr>
                  <w:rStyle w:val="InternetLink"/>
                  <w:rFonts w:ascii="Times New Roman;serif" w:hAnsi="Times New Roman;serif"/>
                  <w:b w:val="false"/>
                  <w:color w:val="0000FF"/>
                  <w:sz w:val="20"/>
                  <w:u w:val="single"/>
                </w:rPr>
                <w:t>(incorporated by reference to Exhibit 2.2 to the Company’s Registration Statement on Form S-4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Amendment No. 1 to the Membership Interest Purchase Agreement, dated as of June 24, 2021, by and among BuzzFeed, Inc., CM Partners, LLC, Complex Media, Inc., Verizon CMP Holdings LLC and HDS II, Inc.</w:t>
              </w:r>
            </w:hyperlink>
            <w:r>
              <w:rPr>
                <w:color w:val="000000"/>
              </w:rPr>
              <w:t xml:space="preserve"> </w:t>
            </w:r>
            <w:hyperlink r:id="rId7">
              <w:r>
                <w:rPr>
                  <w:rStyle w:val="InternetLink"/>
                  <w:rFonts w:ascii="Times New Roman;serif" w:hAnsi="Times New Roman;serif"/>
                  <w:b w:val="false"/>
                  <w:color w:val="0000FF"/>
                  <w:sz w:val="20"/>
                  <w:u w:val="single"/>
                </w:rPr>
                <w:t>(incorporated by reference to Exhibit 2.3 to the Company’s Registration Statement on Form S-4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Asset Purchase Agreement, dated as of February 21, 2024, by and between BuzzFeed Media Enterprises, Inc. and Commerce Media Holdings, LLC (incorporated by reference to Exhibit 2.1 to the Company’s Current Report on Form 8-K filed on February 21,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Asset Purchase Agreement, dated as of December 11, 2024, by and between BuzzFeed Media Enterprises, Inc. and Feast OpCo LLC (incorporated by reference to Exhibit 2.1 to the Company's Current Report on Form 8-K filed on December 12,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Second Amended and Restated Certificate of Incorporation of BuzzFeed, Inc.,</w:t>
              </w:r>
            </w:hyperlink>
            <w:r>
              <w:rPr>
                <w:color w:val="000000"/>
              </w:rPr>
              <w:t xml:space="preserve"> </w:t>
            </w:r>
            <w:hyperlink r:id="rId11">
              <w:r>
                <w:rPr>
                  <w:rStyle w:val="InternetLink"/>
                  <w:rFonts w:ascii="Times New Roman;serif" w:hAnsi="Times New Roman;serif"/>
                  <w:b w:val="false"/>
                  <w:color w:val="0000EE"/>
                  <w:sz w:val="20"/>
                  <w:u w:val="single"/>
                </w:rPr>
                <w:t>(incorporated by reference to Exhibit 3.1 to the Company’s Current Report on Form 8-K filed on December 3,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Certificate of Change of Registered Agent and/or Registered Office, dated as of March 13, 2023</w:t>
              </w:r>
            </w:hyperlink>
            <w:r>
              <w:rPr>
                <w:color w:val="000000"/>
              </w:rPr>
              <w:t xml:space="preserve"> </w:t>
            </w:r>
            <w:hyperlink r:id="rId13">
              <w:r>
                <w:rPr>
                  <w:rStyle w:val="InternetLink"/>
                  <w:rFonts w:ascii="Times New Roman;serif" w:hAnsi="Times New Roman;serif"/>
                  <w:b w:val="false"/>
                  <w:color w:val="0000FF"/>
                  <w:sz w:val="20"/>
                  <w:u w:val="single"/>
                </w:rPr>
                <w:t>(incorporated by reference to Exhibit 3.1 to the Company's Current Report on Form 8-K filed on March 15,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Certificate of Amendment of Second Amended and Restated Certificate of Incorporation of BuzzFeed, Inc. filed on June 1, 2023 (incorporated by reference to Exhibit 3.3 to the Company’s Quarterly Report on Form 10-Q for the period ended June 30, 2023 filed on August 9,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20"/>
                  <w:u w:val="single"/>
                </w:rPr>
                <w:t>Second Amendment to the Second Amended and Restated Certificate of Incorporation of BuzzFeed, Inc. filed on April 26, 2024 (incorporated by reference to Exhibit 3.1 to the Company’s Current Report on Form 8-K filed on May 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Restated Bylaws of BuzzFeed, Inc.</w:t>
              </w:r>
            </w:hyperlink>
            <w:r>
              <w:rPr>
                <w:color w:val="000000"/>
              </w:rPr>
              <w:t xml:space="preserve"> </w:t>
            </w:r>
            <w:hyperlink r:id="rId17">
              <w:r>
                <w:rPr>
                  <w:rStyle w:val="InternetLink"/>
                  <w:rFonts w:ascii="Times New Roman;serif" w:hAnsi="Times New Roman;serif"/>
                  <w:b w:val="false"/>
                  <w:color w:val="0000FF"/>
                  <w:sz w:val="20"/>
                  <w:u w:val="single"/>
                </w:rPr>
                <w:t>(incorporated by reference to Exhibit 3.2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Specimen Common Stock Certificate (incorporated by reference to Exhibit 4.1 to the Company's Registration Statement on Form S-4/A filed on October 1, 2021).</w:t>
              </w:r>
            </w:hyperlink>
            <w:r>
              <w:rPr>
                <w:color w:val="00000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Specimen Warrant Certificate (incorporated by reference to Exhibit 4.3 (included in Exhibit 4.4) to the Company's Registration Statement on Form S-1/A filed on January 6,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Indenture, dated December 3, 2021, by and between BuzzFeed, Inc. and Wilmington Savings Fund Society, a federal savings bank, as Trustee (incorporated by reference to Exhibit 4.3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Form of Global Note (incorporated by reference to Exhibit 4.4 (included in Exhibit 4.3)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First Supplemental Indenture, dated as of July 10, 2023, to the Indenture, dated December 3, 2021 between BuzzFeed, Inc., BuzzFeed Canada, Inc., and Wilmington Savings Fund Society, a Federal Savings Bank, as Trustee (incorporated by reference to Exhibit 4.1 to the Company’s Quarterly Report on Form 10-Q for the period ended June 30, 2023 filed on August 9,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bc17671224da4260ad325a5ae079b9f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9"/>
        <w:gridCol w:w="202"/>
        <w:gridCol w:w="208"/>
        <w:gridCol w:w="109"/>
        <w:gridCol w:w="109"/>
        <w:gridCol w:w="109"/>
        <w:gridCol w:w="2754"/>
        <w:gridCol w:w="2677"/>
        <w:gridCol w:w="3808"/>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Second Supplemental Indenture, dated February 28, 2024, to the Indenture dated December 3, 2021 between BuzzFeed, Inc. and Wilmington Savings Fund Society, a Federal Savings Bank, as Trustee (incorporated by reference to Exhibit 4.1 to the Company’s Current Report on Form 8-K filed on February 29,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Third Supplemental Indenture, dated October 28, 2024, to the Indenture dated December 3, 2021 between BuzzFeed, Inc. and Wilmington Savings Fund Society, a Federal Savings Bank, as Trustee (incorporated by reference to Exhibit 4.1 to the Company’s Current Report on Form 8-K filed on October 31,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Fourth Supplemental Indenture, dated December 10, 2024, to the Indenture dated December 3, 2021 between BuzzFeed, Inc. and Wilmington Savings Fund Society, a Federal Savings Bank, as Trustee (incorporated by reference to Exhibit 4.1 to the Company’s Current Report on Form 8-K filed on December 12,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Form of Stock Option Agreement for Grants to Employees under the 2021 Equity Incentive Plan (effective as of October 28, 2024) (incorporated by reference to Exhibit 10.1 to the Company's Quarterly Report on Form 10-Q for the period ending September 30, 2024 filed on November 12,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Form of Restricted Stock Unit ("RSU") Agreement for Grants to Employees under the 2021 Equity Incentive Plan (effective as of October 28, 2024) (incorporated by reference to Exhibit 10.2 to the Company's Quarterly Report on Form 10-Q for the period ending September 30, 2024 filed on November 12,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Form of RSU Agreement for Grants to Non-Employee Directors under the 2021 Equity Incentive Plan (effective as of October 28, 2024) (incorporated by reference to Exhibit 10.3 to the Company's Quarterly Report on Form 10-Q for the period ending September 30, 2024 filed on November 12, 2024).</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20"/>
                  <w:u w:val="single"/>
                </w:rPr>
                <w:t>Credit Agreement, dated May 23, 2025, by and among BuzzFeed, Inc., BuzzFeed Media Enterprises, Inc., the borrowers and guarantors thereto, the lenders thereto and Sound Point Agency LLC (incorporated by reference to Exhibit 10.1 to the Company’s Current Report on Form 8-K filed on May 27, 2025).</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Amendment No. 1 to Credit Agreement, dated July 31, 2025 to the Credit Agreement, dated May 23, 2025, by and among BuzzFeed, Inc., BuzzFeed Media Enterprises, Inc., the borrowers and guarantors thereto, the lenders thereto and Sound Point Agency LLC.</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Amendment No. 2 to Credit Agreement, dated August 25, 2025 to the Credit Agreement, dated May 23, 2025, by and among BuzzFeed, Inc., BuzzFeed Media Enterprises, Inc., the borrowers and guarantors thereto, the lenders thereto and Sound Point Agency LLC (incorporated by reference to Exhibit 10.1 to the Company’s Current Report on Form 8-K filed on August 26, 2025).</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Amendment No. 3 to Credit Agreement, dated March 11, 2026 to the Credit Agreement, dated May 23, 2025, by and among BuzzFeed, Inc., BuzzFeed Media Enterprises, Inc., the borrowers and guarantors thereto, the lenders thereto and Sound Point Agency LLC (incorporated by reference to Exhibit 10.11.4 to the Company’s Current Report on Form 10-K filed on March 16, 2026).</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Amendment No. 4 to Credit Agreement, dated May 7, 2026, to the Credit Agreement, dated May 23, 2025, by and among BuzzFeed, Inc., BuzzFeed Media Enterprises, Inc., the borrowers and guarantors thereto and Sound Point Agency LLC</w:t>
              </w:r>
            </w:hyperlink>
            <w:r>
              <w:rPr>
                <w:rFonts w:ascii="Times New Roman;serif" w:hAnsi="Times New Roman;serif"/>
                <w:b w:val="false"/>
                <w:color w:val="000000"/>
                <w:sz w:val="20"/>
              </w:rPr>
              <w:t>.</w:t>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80"/>
                  <w:sz w:val="20"/>
                  <w:u w:val="single"/>
                </w:rPr>
                <w:t>Consent Letter, dated February 20, 2026 by and among BuzzFeed, Inc., BuzzFeed Media Enterprises, Inc., the borrowers and guarantors thereto, the lenders thereto and Sound Point Agency LLC (</w:t>
              </w:r>
            </w:hyperlink>
            <w:hyperlink r:id="rId35">
              <w:r>
                <w:rPr>
                  <w:rStyle w:val="InternetLink"/>
                  <w:rFonts w:ascii="Times New Roman;serif" w:hAnsi="Times New Roman;serif"/>
                  <w:b w:val="false"/>
                  <w:color w:val="000080"/>
                  <w:sz w:val="20"/>
                  <w:u w:val="single"/>
                </w:rPr>
                <w:t>incorporated by reference to Exhibit 10.1 to the Company’s Current Report on Form 8-K filed on February 24, 2026).</w:t>
              </w:r>
            </w:hyperlink>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Consent Letter, dated February 20, 2026 by and among BuzzFeed, Inc., BuzzFeed Media Enterprises, Inc., the borrowers and guarantors thereto, the lenders thereto and Sound Point Agency LLC (incorporated by reference to Exhibit 10.1 to the Company's Current Report on Form 8-K dated March 3, 2026).</w:t>
              </w:r>
            </w:hyperlink>
            <w:r>
              <w:rPr>
                <w:color w:val="000000"/>
              </w:rPr>
              <w:t xml:space="preserve"> </w:t>
            </w:r>
          </w:p>
        </w:tc>
      </w:tr>
      <w:tr>
        <w:trPr/>
        <w:tc>
          <w:tcPr>
            <w:tcW w:w="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20"/>
                  <w:u w:val="single"/>
                </w:rPr>
                <w:t>Loan and Security Agreement, dated July 13, 2025, by and between 2X Blind Partners, Inc., as borrower, and BondIt LLC, as Lender (incorporated by reference to Exhibit 10.5 to the Company’s Quarterly Report on Form 10-Q filed on August 7,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bc17671224da4260ad325a5ae079b9f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5"/>
        <w:gridCol w:w="365"/>
        <w:gridCol w:w="369"/>
        <w:gridCol w:w="109"/>
        <w:gridCol w:w="109"/>
        <w:gridCol w:w="109"/>
        <w:gridCol w:w="2644"/>
        <w:gridCol w:w="2520"/>
        <w:gridCol w:w="3565"/>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erif" w:hAnsi="Times New Roman;serif"/>
                  <w:b w:val="false"/>
                  <w:color w:val="0000FF"/>
                  <w:sz w:val="20"/>
                  <w:u w:val="single"/>
                </w:rPr>
                <w:t>Commitment Letter, dated June 13, 2024 as amended and restated as of June 25, 2025, by and among Girls Like Girls Film Inc. as borrower, and Royal Bank of Canada, as the bank (incorporated by reference to Exhibit 10.1 to the Company’s Current Report of Form 8-K filed on June 30, 2025).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erif" w:hAnsi="Times New Roman;serif"/>
                  <w:b w:val="false"/>
                  <w:color w:val="0000FF"/>
                  <w:sz w:val="20"/>
                  <w:u w:val="single"/>
                </w:rPr>
                <w:t>Share Repurchase Agreement dated May 23, 2025 by and between BuzzFeed, Inc. and New Enterprise Associates 13, L.P. (incorporated by reference to Exhibit 10.2 to the Company’s Current Report on Form 8-K filed on May 27, 2025).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erif" w:hAnsi="Times New Roman;serif"/>
                  <w:b w:val="false"/>
                  <w:color w:val="0000FF"/>
                  <w:sz w:val="20"/>
                  <w:u w:val="single"/>
                </w:rPr>
                <w:t>Agreement of Lease, dated March 3, 2025, by and between BuzzFeed Media Enterprises, Inc., as Tenant, and 50 West 23rd Street A LLC and 50 West 23rd Street B LLC, together as Landlord (incorporated by reference to Exhibit 10.8 to the Company’s Quarterly Report on Form 10-Q filed on August 7, 2025).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erif" w:hAnsi="Times New Roman;serif"/>
                  <w:b w:val="false"/>
                  <w:color w:val="0000FF"/>
                  <w:sz w:val="20"/>
                  <w:u w:val="single"/>
                </w:rPr>
                <w:t>Stock Purchase Agreement, dated May 11, 2026, by and between BuzzFeed, Inc. and Allen Family Digital (incorporated by reference to Exhibit 10.1 to the Company’s Current Report on Form 8-K filed on May 11, 2026)</w:t>
              </w:r>
            </w:hyperlink>
            <w:r>
              <w:rPr>
                <w:rFonts w:ascii="Times New Roman;serif" w:hAnsi="Times New Roman;serif"/>
                <w:b w:val="false"/>
                <w:color w:val="000000"/>
                <w:sz w:val="20"/>
              </w:rPr>
              <w: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erif" w:hAnsi="Times New Roman;serif"/>
                  <w:b w:val="false"/>
                  <w:color w:val="0000FF"/>
                  <w:sz w:val="20"/>
                  <w:u w:val="single"/>
                </w:rPr>
                <w:t>Promissory Note, dated May 11, 2026, by and between BuzzFeed, Inc. and Allen Family Digital, LLC (incorporated by reference to Exhibit 10.2 to the Company’s Current Report on Form 8-K filed on May 11, 2026)</w:t>
              </w:r>
            </w:hyperlink>
            <w:r>
              <w:rPr>
                <w:rFonts w:ascii="Times New Roman;serif" w:hAnsi="Times New Roman;serif"/>
                <w:b w:val="false"/>
                <w:color w:val="000000"/>
                <w:sz w:val="20"/>
              </w:rPr>
              <w: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Director Appointment Agreement, dated May 11, 2026, by and among BuzzFeed, Inc., Allen Family Digital, LLC, and Jonah Peretti (incorporated by reference to Exhibit 10.2 to the Company’s Current Report on Form 8-K filed on May 11, 2026)</w:t>
              </w:r>
            </w:hyperlink>
            <w:r>
              <w:rPr>
                <w:rFonts w:ascii="Times New Roman;serif" w:hAnsi="Times New Roman;serif"/>
                <w:b w:val="false"/>
                <w:color w:val="000000"/>
                <w:sz w:val="20"/>
              </w:rPr>
              <w: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60331xexx311.htm">
              <w:r>
                <w:rPr>
                  <w:rStyle w:val="InternetLink"/>
                  <w:rFonts w:ascii="Times New Roman;serif" w:hAnsi="Times New Roman;serif"/>
                  <w:b w:val="false"/>
                  <w:color w:val="0000FF"/>
                  <w:sz w:val="20"/>
                  <w:u w:val="single"/>
                </w:rPr>
                <w:t>Certification of Principal Executive Officer pursuant to Rule 13a-14(a) and 15d-14(a) under the Exchange Act, as adopted pursuant to Section 302 of the Sarbanes-Oxley Act of 2002.</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60331xexx312.htm">
              <w:r>
                <w:rPr>
                  <w:rStyle w:val="InternetLink"/>
                  <w:rFonts w:ascii="Times New Roman;serif" w:hAnsi="Times New Roman;serif"/>
                  <w:b w:val="false"/>
                  <w:color w:val="0000FF"/>
                  <w:sz w:val="20"/>
                  <w:u w:val="single"/>
                </w:rPr>
                <w:t>Certification of Principal Financial Officer pursuant to Rule 13a-14(a) and 15d-14(a) under the Exchange Act, as adopted pursuant to Section 302 of the Sarbanes-Oxley Act of 2002.</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60331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60331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Schema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Calculation Linkbase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Definition Linkbase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Label Linkbase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Presentation Linkbase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included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Schedules and exhibits to this Exhibit omitted pursuant to Regulation S-K Item 601(b)(2). The Registrant agrees to furnish supplementally a copy of any omitted schedule or exhibit to the SEC upon request.</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The Registrant has omitted portions of this Exhibit as permitted under Item 601(b)(1) of Regulation 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432" w:after="600"/>
        <w:jc w:val="left"/>
        <w:rPr/>
      </w:pPr>
      <w:hyperlink w:anchor="ibc17671224da4260ad325a5ae079b9f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8650"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209"/>
        <w:gridCol w:w="209"/>
        <w:gridCol w:w="209"/>
        <w:gridCol w:w="1804"/>
        <w:gridCol w:w="1804"/>
        <w:gridCol w:w="261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 and Duly Authorized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Jonah Peretti,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May 11, 2026</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Matt Omer,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Jonah Peretti, Chief Executive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March 31, 2026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Matt Omer, Chief Financial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March 31, 2026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May 11, 2026</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972/000110465921085218/tm2120621d1_ex2-1.htm" TargetMode="External"/><Relationship Id="rId3" Type="http://schemas.openxmlformats.org/officeDocument/2006/relationships/hyperlink" Target="https://www.sec.gov/Archives/edgar/data/1828972/000110465921148188/tm2134844d1_ex3-2.htm" TargetMode="External"/><Relationship Id="rId4" Type="http://schemas.openxmlformats.org/officeDocument/2006/relationships/hyperlink" Target="https://www.sec.gov/Archives/edgar/data/1828972/000110465921098380/tm2122219d3_ex2-2.htm" TargetMode="External"/><Relationship Id="rId5" Type="http://schemas.openxmlformats.org/officeDocument/2006/relationships/hyperlink" Target="https://www.sec.gov/Archives/edgar/data/1828972/000110465921148188/tm2134844d1_ex3-2.htm" TargetMode="External"/><Relationship Id="rId6" Type="http://schemas.openxmlformats.org/officeDocument/2006/relationships/hyperlink" Target="https://www.sec.gov/Archives/edgar/data/1828972/000110465921098380/tm2122219d3_ex2-3.htm" TargetMode="External"/><Relationship Id="rId7" Type="http://schemas.openxmlformats.org/officeDocument/2006/relationships/hyperlink" Target="https://www.sec.gov/Archives/edgar/data/1828972/000110465921148188/tm2134844d1_ex3-2.htm" TargetMode="External"/><Relationship Id="rId8" Type="http://schemas.openxmlformats.org/officeDocument/2006/relationships/hyperlink" Target="https://www.sec.gov/Archives/edgar/data/1828972/000182897224000015/exhibit21-apa.htm" TargetMode="External"/><Relationship Id="rId9" Type="http://schemas.openxmlformats.org/officeDocument/2006/relationships/hyperlink" Target="https://www.sec.gov/Archives/edgar/data/1828972/000182897224000249/exhibit21apa-executionvers.htm" TargetMode="External"/><Relationship Id="rId10" Type="http://schemas.openxmlformats.org/officeDocument/2006/relationships/hyperlink" Target="https://www.sec.gov/Archives/edgar/data/1828972/000110465921148188/tm2134844d1_ex3-1.htm" TargetMode="External"/><Relationship Id="rId11" Type="http://schemas.openxmlformats.org/officeDocument/2006/relationships/hyperlink" Target="https://www.sec.gov/Archives/edgar/data/1828972/000110465921148188/tm2134844d1_ex3-1.htm" TargetMode="External"/><Relationship Id="rId12" Type="http://schemas.openxmlformats.org/officeDocument/2006/relationships/hyperlink" Target="https://www.sec.gov/Archives/edgar/data/1828972/000182897223000025/exhibit31delaware-buzzfeed.htm" TargetMode="External"/><Relationship Id="rId13" Type="http://schemas.openxmlformats.org/officeDocument/2006/relationships/hyperlink" Target="https://www.sec.gov/Archives/edgar/data/1828972/000182897223000025/exhibit31delaware-buzzfeed.htm" TargetMode="External"/><Relationship Id="rId14" Type="http://schemas.openxmlformats.org/officeDocument/2006/relationships/hyperlink" Target="https://www.sec.gov/Archives/edgar/data/1828972/000182897223000141/exhibit33.htm" TargetMode="External"/><Relationship Id="rId15" Type="http://schemas.openxmlformats.org/officeDocument/2006/relationships/hyperlink" Target="https://www.sec.gov/Archives/edgar/data/1828972/000182897224000099/ex31certificateofamendment.htm" TargetMode="External"/><Relationship Id="rId16" Type="http://schemas.openxmlformats.org/officeDocument/2006/relationships/hyperlink" Target="https://www.sec.gov/Archives/edgar/data/1828972/000110465921148188/tm2134844d1_ex3-2.htm" TargetMode="External"/><Relationship Id="rId17" Type="http://schemas.openxmlformats.org/officeDocument/2006/relationships/hyperlink" Target="https://www.sec.gov/Archives/edgar/data/1828972/000110465921148188/tm2134844d1_ex3-2.htm" TargetMode="External"/><Relationship Id="rId18" Type="http://schemas.openxmlformats.org/officeDocument/2006/relationships/hyperlink" Target="https://www.sec.gov/Archives/edgar/data/1828972/000110465921122092/enfa-20211001xex4d1.htm" TargetMode="External"/><Relationship Id="rId19" Type="http://schemas.openxmlformats.org/officeDocument/2006/relationships/hyperlink" Target="https://www.sec.gov/Archives/edgar/data/1828972/000110465921001623/tm2034583d8_ex4-4.htm" TargetMode="External"/><Relationship Id="rId20" Type="http://schemas.openxmlformats.org/officeDocument/2006/relationships/hyperlink" Target="https://www.sec.gov/Archives/edgar/data/1828972/000110465921148188/tm2134844d1_ex4-3.htm" TargetMode="External"/><Relationship Id="rId21" Type="http://schemas.openxmlformats.org/officeDocument/2006/relationships/hyperlink" Target="https://www.sec.gov/Archives/edgar/data/1828972/000110465921148188/tm2134844d1_ex4-3.htm" TargetMode="External"/><Relationship Id="rId22" Type="http://schemas.openxmlformats.org/officeDocument/2006/relationships/hyperlink" Target="https://www.sec.gov/Archives/edgar/data/1828972/000182897223000141/buzzfeed-firstsupplemental.htm" TargetMode="External"/><Relationship Id="rId23" Type="http://schemas.openxmlformats.org/officeDocument/2006/relationships/hyperlink" Target="https://www.sec.gov/Archives/edgar/data/1828972/000182897224000019/exhibit41-secondsupplement.htm" TargetMode="External"/><Relationship Id="rId24" Type="http://schemas.openxmlformats.org/officeDocument/2006/relationships/hyperlink" Target="https://www.sec.gov/Archives/edgar/data/1828972/000182897224000212/buzzfeed-thirdsupplemental.htm" TargetMode="External"/><Relationship Id="rId25" Type="http://schemas.openxmlformats.org/officeDocument/2006/relationships/hyperlink" Target="https://www.sec.gov/Archives/edgar/data/1828972/000182897224000249/exhibit41buzzfeed-fourthsu.htm" TargetMode="External"/><Relationship Id="rId26" Type="http://schemas.openxmlformats.org/officeDocument/2006/relationships/hyperlink" Target="https://www.sec.gov/Archives/edgar/data/1828972/000182897224000222/formofstockoptionagreement.htm" TargetMode="External"/><Relationship Id="rId27" Type="http://schemas.openxmlformats.org/officeDocument/2006/relationships/hyperlink" Target="https://www.sec.gov/Archives/edgar/data/1828972/000182897224000222/formofrestrictedstockunitr.htm" TargetMode="External"/><Relationship Id="rId28" Type="http://schemas.openxmlformats.org/officeDocument/2006/relationships/hyperlink" Target="https://www.sec.gov/Archives/edgar/data/1828972/000182897224000222/formofrsuagreementforgrant.htm" TargetMode="External"/><Relationship Id="rId29" Type="http://schemas.openxmlformats.org/officeDocument/2006/relationships/hyperlink" Target="https://www.sec.gov/Archives/edgar/data/1828972/000182897225000139/exhibit101termloanexecutio.htm" TargetMode="External"/><Relationship Id="rId30" Type="http://schemas.openxmlformats.org/officeDocument/2006/relationships/hyperlink" Target="https://www.sec.gov/Archives/edgar/data/1828972/000182897225000240/bzfd-20250930xexx105.htm" TargetMode="External"/><Relationship Id="rId31" Type="http://schemas.openxmlformats.org/officeDocument/2006/relationships/hyperlink" Target="https://www.sec.gov/Archives/edgar/data/1828972/000182897225000209/buzzfeed2025ablsecondamend.htm" TargetMode="External"/><Relationship Id="rId32" Type="http://schemas.openxmlformats.org/officeDocument/2006/relationships/hyperlink" Target="https://www.sec.gov/Archives/edgar/data/0001828972/000182897226000030/buzzfeed-soundpointablxame.htm" TargetMode="External"/><Relationship Id="rId33" Type="http://schemas.openxmlformats.org/officeDocument/2006/relationships/hyperlink" Target="https://www.sec.gov/Archives/edgar/data/1828972/000182897226000050/exhibit101-amendmentno4toc.htm" TargetMode="External"/><Relationship Id="rId34" Type="http://schemas.openxmlformats.org/officeDocument/2006/relationships/hyperlink" Target="https://www.sec.gov/Archives/edgar/data/1828972/000182897226000010/exhibit101consentletterfeb.htm" TargetMode="External"/><Relationship Id="rId35" Type="http://schemas.openxmlformats.org/officeDocument/2006/relationships/hyperlink" Target="https://www.sec.gov/Archives/edgar/data/1828972/000182897226000010/exhibit101consentletterfeb.htm" TargetMode="External"/><Relationship Id="rId36" Type="http://schemas.openxmlformats.org/officeDocument/2006/relationships/hyperlink" Target="https://www.sec.gov/Archives/edgar/data/1828972/000182897226000016/exhibit101consentletterfeb.htm" TargetMode="External"/><Relationship Id="rId37" Type="http://schemas.openxmlformats.org/officeDocument/2006/relationships/hyperlink" Target="https://www.sec.gov/Archives/edgar/data/1828972/000182897225000195/bzfd-20250630xexx105.htm" TargetMode="External"/><Relationship Id="rId38" Type="http://schemas.openxmlformats.org/officeDocument/2006/relationships/hyperlink" Target="https://www.sec.gov/Archives/edgar/data/1828972/000182897225000177/exhibit101commitmentlett.htm" TargetMode="External"/><Relationship Id="rId39" Type="http://schemas.openxmlformats.org/officeDocument/2006/relationships/hyperlink" Target="https://www.sec.gov/Archives/edgar/data/1828972/000182897225000139/exhibit102sharepurchaseagr.htm" TargetMode="External"/><Relationship Id="rId40" Type="http://schemas.openxmlformats.org/officeDocument/2006/relationships/hyperlink" Target="https://www.sec.gov/Archives/edgar/data/1828972/000182897225000195/bzfd-20250630xexx108.htm" TargetMode="External"/><Relationship Id="rId41" Type="http://schemas.openxmlformats.org/officeDocument/2006/relationships/hyperlink" Target="https://www.sec.gov/Archives/edgar/data/1828972/000182897226000054/exhibit101-stockpurchaseag.htm" TargetMode="External"/><Relationship Id="rId42" Type="http://schemas.openxmlformats.org/officeDocument/2006/relationships/hyperlink" Target="https://www.sec.gov/Archives/edgar/data/1828972/000182897226000054/exhibit102buzzfeedinc-afcp.htm" TargetMode="External"/><Relationship Id="rId43" Type="http://schemas.openxmlformats.org/officeDocument/2006/relationships/hyperlink" Target="https://www.sec.gov/Archives/edgar/data/1828972/000182897226000054/exhibit103directorappointm.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32420</Words>
  <Characters>178524</Characters>
  <CharactersWithSpaces>209263</CharactersWithSpaces>
  <Paragraphs>2581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