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6"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08"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360" w:hanging="334"/>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4360"/>
        <w:spacing w:after="0"/>
        <w:tabs>
          <w:tab w:leader="none" w:pos="6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Commission file number: 001-39877</w:t>
      </w:r>
    </w:p>
    <w:p>
      <w:pPr>
        <w:spacing w:after="0" w:line="21"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BuzzFeed, Inc.</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5"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1759"/>
              <w:spacing w:after="0"/>
              <w:rPr>
                <w:sz w:val="20"/>
                <w:szCs w:val="20"/>
                <w:color w:val="auto"/>
              </w:rPr>
            </w:pPr>
            <w:r>
              <w:rPr>
                <w:rFonts w:ascii="Arial" w:cs="Arial" w:eastAsia="Arial" w:hAnsi="Arial"/>
                <w:sz w:val="16"/>
                <w:szCs w:val="16"/>
                <w:b w:val="1"/>
                <w:bCs w:val="1"/>
                <w:color w:val="auto"/>
              </w:rPr>
              <w:t>85-3022075</w:t>
            </w:r>
          </w:p>
        </w:tc>
      </w:tr>
      <w:tr>
        <w:trPr>
          <w:trHeight w:val="243"/>
        </w:trPr>
        <w:tc>
          <w:tcPr>
            <w:tcW w:w="4440" w:type="dxa"/>
            <w:vAlign w:val="bottom"/>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1"/>
              </w:rPr>
              <w:t>229 West 43rd Street New York, New York</w:t>
            </w:r>
          </w:p>
        </w:tc>
        <w:tc>
          <w:tcPr>
            <w:tcW w:w="2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20" w:type="dxa"/>
            <w:vAlign w:val="bottom"/>
          </w:tcPr>
          <w:p>
            <w:pPr>
              <w:jc w:val="right"/>
              <w:ind w:right="1959"/>
              <w:spacing w:after="0"/>
              <w:rPr>
                <w:sz w:val="20"/>
                <w:szCs w:val="20"/>
                <w:color w:val="auto"/>
              </w:rPr>
            </w:pPr>
            <w:r>
              <w:rPr>
                <w:rFonts w:ascii="Arial" w:cs="Arial" w:eastAsia="Arial" w:hAnsi="Arial"/>
                <w:sz w:val="16"/>
                <w:szCs w:val="16"/>
                <w:b w:val="1"/>
                <w:bCs w:val="1"/>
                <w:color w:val="auto"/>
              </w:rPr>
              <w:t>10036</w:t>
            </w:r>
          </w:p>
        </w:tc>
      </w:tr>
      <w:tr>
        <w:trPr>
          <w:trHeight w:val="243"/>
        </w:trPr>
        <w:tc>
          <w:tcPr>
            <w:tcW w:w="444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Arial" w:cs="Arial" w:eastAsia="Arial" w:hAnsi="Arial"/>
                <w:sz w:val="16"/>
                <w:szCs w:val="16"/>
                <w:color w:val="auto"/>
                <w:w w:val="95"/>
              </w:rPr>
              <w:t>(Zip Code)</w:t>
            </w:r>
          </w:p>
        </w:tc>
      </w:tr>
      <w:tr>
        <w:trPr>
          <w:trHeight w:val="310"/>
        </w:trPr>
        <w:tc>
          <w:tcPr>
            <w:tcW w:w="4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3"/>
              </w:rPr>
              <w:t>(646) 397-2039</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540" w:type="dxa"/>
            <w:vAlign w:val="bottom"/>
            <w:gridSpan w:val="3"/>
          </w:tcPr>
          <w:p>
            <w:pPr>
              <w:jc w:val="center"/>
              <w:ind w:left="3618"/>
              <w:spacing w:after="0"/>
              <w:rPr>
                <w:sz w:val="20"/>
                <w:szCs w:val="20"/>
                <w:color w:val="auto"/>
              </w:rPr>
            </w:pPr>
            <w:r>
              <w:rPr>
                <w:rFonts w:ascii="Arial" w:cs="Arial" w:eastAsia="Arial" w:hAnsi="Arial"/>
                <w:sz w:val="16"/>
                <w:szCs w:val="16"/>
                <w:color w:val="auto"/>
                <w:w w:val="91"/>
              </w:rPr>
              <w:t>(Registrant’s telephone number, including area code)</w:t>
            </w:r>
          </w:p>
        </w:tc>
        <w:tc>
          <w:tcPr>
            <w:tcW w:w="3720" w:type="dxa"/>
            <w:vAlign w:val="bottom"/>
          </w:tcPr>
          <w:p>
            <w:pPr>
              <w:spacing w:after="0"/>
              <w:rPr>
                <w:sz w:val="24"/>
                <w:szCs w:val="24"/>
                <w:color w:val="auto"/>
              </w:rPr>
            </w:pPr>
          </w:p>
        </w:tc>
      </w:tr>
      <w:tr>
        <w:trPr>
          <w:trHeight w:val="311"/>
        </w:trPr>
        <w:tc>
          <w:tcPr>
            <w:tcW w:w="7540" w:type="dxa"/>
            <w:vAlign w:val="bottom"/>
            <w:gridSpan w:val="3"/>
          </w:tcPr>
          <w:p>
            <w:pPr>
              <w:jc w:val="center"/>
              <w:ind w:left="3638"/>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20" w:type="dxa"/>
            <w:vAlign w:val="bottom"/>
          </w:tcPr>
          <w:p>
            <w:pPr>
              <w:spacing w:after="0"/>
              <w:rPr>
                <w:sz w:val="24"/>
                <w:szCs w:val="24"/>
                <w:color w:val="auto"/>
              </w:rPr>
            </w:pPr>
          </w:p>
        </w:tc>
      </w:tr>
      <w:tr>
        <w:trPr>
          <w:trHeight w:val="73"/>
        </w:trPr>
        <w:tc>
          <w:tcPr>
            <w:tcW w:w="444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r>
      <w:tr>
        <w:trPr>
          <w:trHeight w:val="230"/>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59"/>
              <w:spacing w:after="0"/>
              <w:rPr>
                <w:sz w:val="20"/>
                <w:szCs w:val="20"/>
                <w:color w:val="auto"/>
              </w:rPr>
            </w:pPr>
            <w:r>
              <w:rPr>
                <w:rFonts w:ascii="Arial" w:cs="Arial" w:eastAsia="Arial" w:hAnsi="Arial"/>
                <w:sz w:val="16"/>
                <w:szCs w:val="16"/>
                <w:color w:val="auto"/>
                <w:w w:val="90"/>
              </w:rPr>
              <w:t>Name of each exchange on which registered</w:t>
            </w:r>
          </w:p>
        </w:tc>
      </w:tr>
      <w:tr>
        <w:trPr>
          <w:trHeight w:val="237"/>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BZFD</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w w:val="95"/>
              </w:rPr>
              <w:t>The Nasdaq Stock Market LLC</w:t>
            </w:r>
          </w:p>
        </w:tc>
      </w:tr>
      <w:tr>
        <w:trPr>
          <w:trHeight w:val="216"/>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Redeemable warrants, each whole warrant exercisable for one</w:t>
            </w:r>
          </w:p>
        </w:tc>
        <w:tc>
          <w:tcPr>
            <w:tcW w:w="24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r>
      <w:tr>
        <w:trPr>
          <w:trHeight w:val="189"/>
        </w:trPr>
        <w:tc>
          <w:tcPr>
            <w:tcW w:w="4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 of Class A Common Stock at an exercise price of $11.50</w:t>
            </w:r>
          </w:p>
        </w:tc>
        <w:tc>
          <w:tcPr>
            <w:tcW w:w="24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BZFDW</w:t>
            </w:r>
          </w:p>
        </w:tc>
        <w:tc>
          <w:tcPr>
            <w:tcW w:w="7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3" w:lineRule="exact"/>
        <w:rPr>
          <w:sz w:val="24"/>
          <w:szCs w:val="24"/>
          <w:color w:val="auto"/>
        </w:rPr>
      </w:pPr>
    </w:p>
    <w:p>
      <w:pPr>
        <w:ind w:right="20"/>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0" w:lineRule="exact"/>
        <w:rPr>
          <w:sz w:val="24"/>
          <w:szCs w:val="24"/>
          <w:color w:val="auto"/>
        </w:rPr>
      </w:pPr>
    </w:p>
    <w:p>
      <w:pPr>
        <w:ind w:right="42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ind w:right="14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1340" w:type="dxa"/>
        <w:tblCellMar>
          <w:top w:w="0" w:type="dxa"/>
          <w:left w:w="0" w:type="dxa"/>
          <w:bottom w:w="0" w:type="dxa"/>
          <w:right w:w="0" w:type="dxa"/>
        </w:tblCellMar>
      </w:tblPr>
      <w:tr>
        <w:trPr>
          <w:trHeight w:val="206"/>
        </w:trPr>
        <w:tc>
          <w:tcPr>
            <w:tcW w:w="2120" w:type="dxa"/>
            <w:vAlign w:val="bottom"/>
          </w:tcPr>
          <w:p>
            <w:pPr>
              <w:jc w:val="center"/>
              <w:ind w:right="599"/>
              <w:spacing w:after="0"/>
              <w:rPr>
                <w:sz w:val="20"/>
                <w:szCs w:val="20"/>
                <w:color w:val="auto"/>
              </w:rPr>
            </w:pPr>
            <w:r>
              <w:rPr>
                <w:rFonts w:ascii="Arial" w:cs="Arial" w:eastAsia="Arial" w:hAnsi="Arial"/>
                <w:sz w:val="16"/>
                <w:szCs w:val="16"/>
                <w:color w:val="auto"/>
                <w:w w:val="90"/>
              </w:rPr>
              <w:t>Large accelerated filer</w:t>
            </w:r>
          </w:p>
        </w:tc>
        <w:tc>
          <w:tcPr>
            <w:tcW w:w="2020" w:type="dxa"/>
            <w:vAlign w:val="bottom"/>
          </w:tcPr>
          <w:p>
            <w:pPr>
              <w:ind w:left="680"/>
              <w:spacing w:after="0"/>
              <w:rPr>
                <w:sz w:val="20"/>
                <w:szCs w:val="20"/>
                <w:color w:val="auto"/>
              </w:rPr>
            </w:pPr>
            <w:r>
              <w:rPr>
                <w:rFonts w:ascii="Arial" w:cs="Arial" w:eastAsia="Arial" w:hAnsi="Arial"/>
                <w:sz w:val="16"/>
                <w:szCs w:val="16"/>
                <w:color w:val="auto"/>
              </w:rPr>
              <w:t>o</w:t>
            </w:r>
          </w:p>
        </w:tc>
        <w:tc>
          <w:tcPr>
            <w:tcW w:w="4220" w:type="dxa"/>
            <w:vAlign w:val="bottom"/>
          </w:tcPr>
          <w:p>
            <w:pPr>
              <w:ind w:left="1260"/>
              <w:spacing w:after="0"/>
              <w:rPr>
                <w:sz w:val="20"/>
                <w:szCs w:val="20"/>
                <w:color w:val="auto"/>
              </w:rPr>
            </w:pPr>
            <w:r>
              <w:rPr>
                <w:rFonts w:ascii="Arial" w:cs="Arial" w:eastAsia="Arial" w:hAnsi="Arial"/>
                <w:sz w:val="16"/>
                <w:szCs w:val="16"/>
                <w:color w:val="auto"/>
              </w:rPr>
              <w:t>Accelerated filer</w:t>
            </w:r>
          </w:p>
        </w:tc>
        <w:tc>
          <w:tcPr>
            <w:tcW w:w="1260" w:type="dxa"/>
            <w:vAlign w:val="bottom"/>
          </w:tcPr>
          <w:p>
            <w:pPr>
              <w:ind w:left="1180"/>
              <w:spacing w:after="0"/>
              <w:rPr>
                <w:sz w:val="20"/>
                <w:szCs w:val="20"/>
                <w:color w:val="auto"/>
              </w:rPr>
            </w:pPr>
            <w:r>
              <w:rPr>
                <w:rFonts w:ascii="Arial" w:cs="Arial" w:eastAsia="Arial" w:hAnsi="Arial"/>
                <w:sz w:val="16"/>
                <w:szCs w:val="16"/>
                <w:color w:val="auto"/>
                <w:w w:val="74"/>
              </w:rPr>
              <w:t>x</w:t>
            </w:r>
          </w:p>
        </w:tc>
      </w:tr>
      <w:tr>
        <w:trPr>
          <w:trHeight w:val="243"/>
        </w:trPr>
        <w:tc>
          <w:tcPr>
            <w:tcW w:w="2120" w:type="dxa"/>
            <w:vAlign w:val="bottom"/>
          </w:tcPr>
          <w:p>
            <w:pPr>
              <w:jc w:val="center"/>
              <w:ind w:right="599"/>
              <w:spacing w:after="0"/>
              <w:rPr>
                <w:sz w:val="20"/>
                <w:szCs w:val="20"/>
                <w:color w:val="auto"/>
              </w:rPr>
            </w:pPr>
            <w:r>
              <w:rPr>
                <w:rFonts w:ascii="Arial" w:cs="Arial" w:eastAsia="Arial" w:hAnsi="Arial"/>
                <w:sz w:val="16"/>
                <w:szCs w:val="16"/>
                <w:color w:val="auto"/>
                <w:w w:val="92"/>
              </w:rPr>
              <w:t>Non-accelerated filer</w:t>
            </w:r>
          </w:p>
        </w:tc>
        <w:tc>
          <w:tcPr>
            <w:tcW w:w="2020" w:type="dxa"/>
            <w:vAlign w:val="bottom"/>
          </w:tcPr>
          <w:p>
            <w:pPr>
              <w:ind w:left="680"/>
              <w:spacing w:after="0"/>
              <w:rPr>
                <w:sz w:val="20"/>
                <w:szCs w:val="20"/>
                <w:color w:val="auto"/>
              </w:rPr>
            </w:pPr>
            <w:r>
              <w:rPr>
                <w:rFonts w:ascii="Arial" w:cs="Arial" w:eastAsia="Arial" w:hAnsi="Arial"/>
                <w:sz w:val="16"/>
                <w:szCs w:val="16"/>
                <w:color w:val="auto"/>
              </w:rPr>
              <w:t>o</w:t>
            </w:r>
          </w:p>
        </w:tc>
        <w:tc>
          <w:tcPr>
            <w:tcW w:w="4220" w:type="dxa"/>
            <w:vAlign w:val="bottom"/>
          </w:tcPr>
          <w:p>
            <w:pPr>
              <w:ind w:left="1260"/>
              <w:spacing w:after="0"/>
              <w:rPr>
                <w:sz w:val="20"/>
                <w:szCs w:val="20"/>
                <w:color w:val="auto"/>
              </w:rPr>
            </w:pPr>
            <w:r>
              <w:rPr>
                <w:rFonts w:ascii="Arial" w:cs="Arial" w:eastAsia="Arial" w:hAnsi="Arial"/>
                <w:sz w:val="16"/>
                <w:szCs w:val="16"/>
                <w:color w:val="auto"/>
              </w:rPr>
              <w:t>Smaller reporting company</w:t>
            </w:r>
          </w:p>
        </w:tc>
        <w:tc>
          <w:tcPr>
            <w:tcW w:w="1260" w:type="dxa"/>
            <w:vAlign w:val="bottom"/>
          </w:tcPr>
          <w:p>
            <w:pPr>
              <w:ind w:left="1180"/>
              <w:spacing w:after="0"/>
              <w:rPr>
                <w:sz w:val="20"/>
                <w:szCs w:val="20"/>
                <w:color w:val="auto"/>
              </w:rPr>
            </w:pPr>
            <w:r>
              <w:rPr>
                <w:rFonts w:ascii="Arial" w:cs="Arial" w:eastAsia="Arial" w:hAnsi="Arial"/>
                <w:sz w:val="16"/>
                <w:szCs w:val="16"/>
                <w:color w:val="auto"/>
                <w:w w:val="74"/>
              </w:rPr>
              <w:t>x</w:t>
            </w:r>
          </w:p>
        </w:tc>
      </w:tr>
      <w:tr>
        <w:trPr>
          <w:trHeight w:val="243"/>
        </w:trPr>
        <w:tc>
          <w:tcPr>
            <w:tcW w:w="2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220" w:type="dxa"/>
            <w:vAlign w:val="bottom"/>
          </w:tcPr>
          <w:p>
            <w:pPr>
              <w:ind w:left="1260"/>
              <w:spacing w:after="0"/>
              <w:rPr>
                <w:sz w:val="20"/>
                <w:szCs w:val="20"/>
                <w:color w:val="auto"/>
              </w:rPr>
            </w:pPr>
            <w:r>
              <w:rPr>
                <w:rFonts w:ascii="Arial" w:cs="Arial" w:eastAsia="Arial" w:hAnsi="Arial"/>
                <w:sz w:val="16"/>
                <w:szCs w:val="16"/>
                <w:color w:val="auto"/>
              </w:rPr>
              <w:t>Emerging growth company</w:t>
            </w:r>
          </w:p>
        </w:tc>
        <w:tc>
          <w:tcPr>
            <w:tcW w:w="1260" w:type="dxa"/>
            <w:vAlign w:val="bottom"/>
          </w:tcPr>
          <w:p>
            <w:pPr>
              <w:ind w:left="1180"/>
              <w:spacing w:after="0"/>
              <w:rPr>
                <w:sz w:val="20"/>
                <w:szCs w:val="20"/>
                <w:color w:val="auto"/>
              </w:rPr>
            </w:pPr>
            <w:r>
              <w:rPr>
                <w:rFonts w:ascii="Arial" w:cs="Arial" w:eastAsia="Arial" w:hAnsi="Arial"/>
                <w:sz w:val="16"/>
                <w:szCs w:val="16"/>
                <w:color w:val="auto"/>
                <w:w w:val="74"/>
              </w:rPr>
              <w:t>x</w:t>
            </w:r>
          </w:p>
        </w:tc>
      </w:tr>
    </w:tbl>
    <w:p>
      <w:pPr>
        <w:spacing w:after="0" w:line="212" w:lineRule="exact"/>
        <w:rPr>
          <w:sz w:val="24"/>
          <w:szCs w:val="24"/>
          <w:color w:val="auto"/>
        </w:rPr>
      </w:pPr>
    </w:p>
    <w:p>
      <w:pPr>
        <w:ind w:right="6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w:t>
      </w:r>
    </w:p>
    <w:p>
      <w:pPr>
        <w:spacing w:after="0" w:line="127"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As of May 8, 2023, there were 133,444,050 shares of the registrant’s Class A common stock outstanding, 6,675,517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60" w:type="dxa"/>
            <w:vAlign w:val="bottom"/>
          </w:tcPr>
          <w:p>
            <w:pPr>
              <w:ind w:left="2540"/>
              <w:spacing w:after="0"/>
              <w:rPr>
                <w:sz w:val="20"/>
                <w:szCs w:val="20"/>
                <w:color w:val="auto"/>
              </w:rPr>
            </w:pPr>
            <w:r>
              <w:rPr>
                <w:rFonts w:ascii="Arial" w:cs="Arial" w:eastAsia="Arial" w:hAnsi="Arial"/>
                <w:sz w:val="18"/>
                <w:szCs w:val="18"/>
                <w:color w:val="auto"/>
              </w:rPr>
              <w:t>Page</w:t>
            </w:r>
          </w:p>
        </w:tc>
      </w:tr>
      <w:tr>
        <w:trPr>
          <w:trHeight w:val="229"/>
        </w:trPr>
        <w:tc>
          <w:tcPr>
            <w:tcW w:w="2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0000FF"/>
                <w:w w:val="94"/>
              </w:rPr>
              <w:t>PART I</w:t>
            </w:r>
          </w:p>
        </w:tc>
        <w:tc>
          <w:tcPr>
            <w:tcW w:w="820" w:type="dxa"/>
            <w:vAlign w:val="bottom"/>
            <w:gridSpan w:val="2"/>
          </w:tcPr>
          <w:p>
            <w:pPr>
              <w:spacing w:after="0"/>
              <w:rPr>
                <w:sz w:val="19"/>
                <w:szCs w:val="19"/>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b w:val="1"/>
                <w:bCs w:val="1"/>
                <w:color w:val="0000FF"/>
              </w:rPr>
              <w:t>FINANCIAL INFORMATION</w:t>
            </w: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1</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Financial Statements (unaudited)</w:t>
            </w: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w:t>
            </w: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2560" w:type="dxa"/>
            <w:vAlign w:val="bottom"/>
            <w:gridSpan w:val="5"/>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6</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Statements of Comprehensive Loss</w:t>
            </w:r>
          </w:p>
        </w:tc>
        <w:tc>
          <w:tcPr>
            <w:tcW w:w="1840" w:type="dxa"/>
            <w:vAlign w:val="bottom"/>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8</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1840" w:type="dxa"/>
            <w:vAlign w:val="bottom"/>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Arial" w:cs="Arial" w:eastAsia="Arial" w:hAnsi="Arial"/>
                <w:sz w:val="18"/>
                <w:szCs w:val="18"/>
                <w:color w:val="auto"/>
                <w:w w:val="79"/>
              </w:rPr>
              <w:t>9</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10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27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Quantitative and Qualitative Disclosures About Market Risk</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4</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Controls and Procedures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41</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6740" w:type="dxa"/>
            <w:vAlign w:val="bottom"/>
            <w:gridSpan w:val="16"/>
          </w:tcPr>
          <w:p>
            <w:pPr>
              <w:ind w:left="280"/>
              <w:spacing w:after="0"/>
              <w:rPr>
                <w:sz w:val="20"/>
                <w:szCs w:val="20"/>
                <w:color w:val="auto"/>
              </w:rPr>
            </w:pPr>
            <w:r>
              <w:rPr>
                <w:rFonts w:ascii="Arial" w:cs="Arial" w:eastAsia="Arial" w:hAnsi="Arial"/>
                <w:sz w:val="18"/>
                <w:szCs w:val="18"/>
                <w:b w:val="1"/>
                <w:bCs w:val="1"/>
                <w:color w:val="0000FF"/>
              </w:rPr>
              <w:t>OTHER INFORMATION</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Legal Proceedings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Risk Factors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2</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Unregistered Sales of Equity Securities and Use of Proceeds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3</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Defaults Upon Senior Securities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4</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Mine Safety Disclosures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5</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Other Information</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91"/>
              </w:rPr>
              <w:t>Item 6</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Arial" w:cs="Arial" w:eastAsia="Arial" w:hAnsi="Arial"/>
                <w:sz w:val="18"/>
                <w:szCs w:val="18"/>
                <w:color w:val="0000FF"/>
              </w:rPr>
              <w:t>Exhibits</w:t>
            </w: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44</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0000FF"/>
              </w:rPr>
              <w:t>SIGNATURES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jc w:val="center"/>
              <w:ind w:left="2270"/>
              <w:spacing w:after="0"/>
              <w:rPr>
                <w:sz w:val="20"/>
                <w:szCs w:val="20"/>
                <w:color w:val="auto"/>
              </w:rPr>
            </w:pPr>
            <w:r>
              <w:rPr>
                <w:rFonts w:ascii="Arial" w:cs="Arial" w:eastAsia="Arial" w:hAnsi="Arial"/>
                <w:sz w:val="18"/>
                <w:szCs w:val="18"/>
                <w:color w:val="auto"/>
                <w:w w:val="89"/>
              </w:rPr>
              <w:t>46</w:t>
            </w:r>
          </w:p>
        </w:tc>
      </w:tr>
      <w:tr>
        <w:trPr>
          <w:trHeight w:val="938"/>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gridSpan w:val="12"/>
          </w:tcPr>
          <w:p>
            <w:pPr>
              <w:ind w:left="4140"/>
              <w:spacing w:after="0"/>
              <w:rPr>
                <w:sz w:val="20"/>
                <w:szCs w:val="20"/>
                <w:color w:val="auto"/>
              </w:rPr>
            </w:pPr>
            <w:r>
              <w:rPr>
                <w:rFonts w:ascii="Arial" w:cs="Arial" w:eastAsia="Arial" w:hAnsi="Arial"/>
                <w:sz w:val="15"/>
                <w:szCs w:val="15"/>
                <w:color w:val="auto"/>
                <w:w w:val="71"/>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 Forward-looking statements in this Quarterly Report on Form 10-Q may include, for example, statements about:</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products and services and changes in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and competitive environment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the digital media industry;</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quality broadband infrastructure in certain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developments including artificial intelligence;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including expectations with respect to our financial and business performance and the benefits of our restructuring, including financial projections and business metrics, and any underlying assumptions thereunder, future business plans and initiatives, and growth opportunities;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 including, but not limited to, our ability to obtain additional capital in the future, any impacts of bank failures or issues in the broader United States (“U.S.”) financial system, any restrictions imposed by our debt facilities, and any restrictions on our ability to access our cash and cash equivalents;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future acquisitions, partnerships, or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law and government regulation, including, but not limited to, revised foreign content and ownership regulations;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impacts of current global supply chain disruptions, further escalation of tensions between Russia and Western countries and the related sanctions and geopolitical tensions, as well as further escalation of trade tensions between the U.S. and China; the inflationary environment; the tight labor market; the continued impact of the COVID-19 pandemic and evolving strains of COVID-19; and other macroeconomic factors on our business and the actions we may take in the future in response thereto;</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and warrants on the Nasdaq Stock Market LLC;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herein and in our Annual Report on Form 10-K for the year ended December 31,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and in our Annual Report on Form 10-K for the year ended December 31, 2022.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herein and in our Annual Report on Form 10-K for the year ended December 31, 2022. These and other factors could cause results to differ materially from those expressed in these publications and reports.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BUZZFEED,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per share amounts</w:t>
      </w:r>
      <w:r>
        <w:rPr>
          <w:rFonts w:ascii="Arial" w:cs="Arial" w:eastAsia="Arial" w:hAnsi="Arial"/>
          <w:sz w:val="14"/>
          <w:szCs w:val="14"/>
          <w:color w:val="auto"/>
        </w:rPr>
        <w: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2023</w:t>
            </w: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49,947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55,774</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w w:val="99"/>
              </w:rPr>
              <w:t>Accounts receivable (net of allowance for doubtful accounts of $2,229 as at March 31, 2023 and $1,879 as at December 31, 2022)</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116,460</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26,373</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146,580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198,607</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17,774</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Right-of-use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61,615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66,581</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Capitalized software costs, net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19,259</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117,532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121,329</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91,632</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14,790</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469,291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529,972</w:t>
            </w:r>
          </w:p>
        </w:tc>
      </w:tr>
      <w:tr>
        <w:trPr>
          <w:trHeight w:val="24"/>
        </w:trPr>
        <w:tc>
          <w:tcPr>
            <w:tcW w:w="818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3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29,329</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26,357</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Deferred revenue</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8,836</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18,294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31,052</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Current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23,398</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3,900</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122,872</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Noncurrent lease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54,269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59,315</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152,253</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rPr>
              <w:t>Derivative liability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Warrant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310,925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335,418</w:t>
            </w:r>
          </w:p>
        </w:tc>
      </w:tr>
      <w:tr>
        <w:trPr>
          <w:trHeight w:val="54"/>
        </w:trPr>
        <w:tc>
          <w:tcPr>
            <w:tcW w:w="8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54"/>
        </w:trPr>
        <w:tc>
          <w:tcPr>
            <w:tcW w:w="8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84"/>
        </w:trPr>
        <w:tc>
          <w:tcPr>
            <w:tcW w:w="8180" w:type="dxa"/>
            <w:vAlign w:val="bottom"/>
          </w:tcPr>
          <w:p>
            <w:pPr>
              <w:ind w:left="100"/>
              <w:spacing w:after="0"/>
              <w:rPr>
                <w:sz w:val="20"/>
                <w:szCs w:val="20"/>
                <w:color w:val="auto"/>
              </w:rPr>
            </w:pPr>
            <w:r>
              <w:rPr>
                <w:rFonts w:ascii="Arial" w:cs="Arial" w:eastAsia="Arial" w:hAnsi="Arial"/>
                <w:sz w:val="14"/>
                <w:szCs w:val="14"/>
                <w:color w:val="auto"/>
                <w:w w:val="94"/>
              </w:rPr>
              <w:t>Class A Common stock, $0.0001 par value; 700,000 shares authorized; 133,258 and 126,387 shares issued and outstanding at March 31,</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8180" w:type="dxa"/>
            <w:vAlign w:val="bottom"/>
          </w:tcPr>
          <w:p>
            <w:pPr>
              <w:ind w:left="220"/>
              <w:spacing w:after="0"/>
              <w:rPr>
                <w:sz w:val="20"/>
                <w:szCs w:val="20"/>
                <w:color w:val="auto"/>
              </w:rPr>
            </w:pPr>
            <w:r>
              <w:rPr>
                <w:rFonts w:ascii="Arial" w:cs="Arial" w:eastAsia="Arial" w:hAnsi="Arial"/>
                <w:sz w:val="14"/>
                <w:szCs w:val="14"/>
                <w:color w:val="auto"/>
              </w:rPr>
              <w:t>2023 and December 31, 2022, respectively</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4"/>
        </w:trPr>
        <w:tc>
          <w:tcPr>
            <w:tcW w:w="8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Class B Common stock, $0.0001 par value; 20,000 shares authorized; 6,676 and 6,678 shares issued and outstanding at March 31, 2023 and</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1"/>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December 31, 2022,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180" w:type="dxa"/>
            <w:vAlign w:val="bottom"/>
          </w:tcPr>
          <w:p>
            <w:pPr>
              <w:ind w:left="100"/>
              <w:spacing w:after="0"/>
              <w:rPr>
                <w:sz w:val="20"/>
                <w:szCs w:val="20"/>
                <w:color w:val="auto"/>
              </w:rPr>
            </w:pPr>
            <w:r>
              <w:rPr>
                <w:rFonts w:ascii="Arial" w:cs="Arial" w:eastAsia="Arial" w:hAnsi="Arial"/>
                <w:sz w:val="14"/>
                <w:szCs w:val="14"/>
                <w:color w:val="auto"/>
                <w:w w:val="94"/>
              </w:rPr>
              <w:t>Class C Common stock, $0.0001 par value; 10,000 shares authorized; 0 and 6,478 shares issued and outstanding at March 31, 2023 and</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8180" w:type="dxa"/>
            <w:vAlign w:val="bottom"/>
          </w:tcPr>
          <w:p>
            <w:pPr>
              <w:ind w:left="220"/>
              <w:spacing w:after="0"/>
              <w:rPr>
                <w:sz w:val="20"/>
                <w:szCs w:val="20"/>
                <w:color w:val="auto"/>
              </w:rPr>
            </w:pPr>
            <w:r>
              <w:rPr>
                <w:rFonts w:ascii="Arial" w:cs="Arial" w:eastAsia="Arial" w:hAnsi="Arial"/>
                <w:sz w:val="14"/>
                <w:szCs w:val="14"/>
                <w:color w:val="auto"/>
              </w:rPr>
              <w:t>December 31, 2022, respectively</w:t>
            </w:r>
          </w:p>
        </w:tc>
        <w:tc>
          <w:tcPr>
            <w:tcW w:w="18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717,191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716,233</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(559,190)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(523,063)</w:t>
            </w:r>
          </w:p>
        </w:tc>
      </w:tr>
      <w:tr>
        <w:trPr>
          <w:trHeight w:val="39"/>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Total BuzzFeed, Inc. stockholders’ equity</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155,347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191,217</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158,366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194,554</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469,291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529,972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(Unaudited) </w:t>
      </w: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Cost of revenue,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60,818</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17,803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32,562</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7,192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8,481</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126,856</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(35,298)</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(44,216)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(44,566)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the redeemable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BuzzFeed,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Class A, Class B and Class C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136,425</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136,425</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redeemable noncontrolling interest</w:t>
            </w:r>
          </w:p>
        </w:tc>
        <w:tc>
          <w:tcPr>
            <w:tcW w:w="3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BuzzFeed,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61"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27940</wp:posOffset>
            </wp:positionV>
            <wp:extent cx="6086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147"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4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Common Stock –</w:t>
            </w: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Common Stock –</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Common Stock –</w:t>
            </w:r>
          </w:p>
        </w:tc>
      </w:tr>
      <w:tr>
        <w:trPr>
          <w:trHeight w:val="164"/>
        </w:trPr>
        <w:tc>
          <w:tcPr>
            <w:tcW w:w="14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Class A</w:t>
            </w: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Class C</w:t>
            </w:r>
          </w:p>
        </w:tc>
      </w:tr>
      <w:tr>
        <w:trPr>
          <w:trHeight w:val="29"/>
        </w:trPr>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Shares</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720" w:type="dxa"/>
            <w:vAlign w:val="bottom"/>
          </w:tcPr>
          <w:p>
            <w:pPr>
              <w:ind w:left="160"/>
              <w:spacing w:after="0"/>
              <w:rPr>
                <w:sz w:val="20"/>
                <w:szCs w:val="20"/>
                <w:color w:val="auto"/>
              </w:rPr>
            </w:pPr>
            <w:r>
              <w:rPr>
                <w:rFonts w:ascii="Arial" w:cs="Arial" w:eastAsia="Arial" w:hAnsi="Arial"/>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8"/>
        </w:trPr>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6"/>
              </w:rPr>
              <w:t>other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BuzzFeed, Inc.</w:t>
            </w:r>
          </w:p>
        </w:tc>
        <w:tc>
          <w:tcPr>
            <w:tcW w:w="980" w:type="dxa"/>
            <w:vAlign w:val="bottom"/>
          </w:tcPr>
          <w:p>
            <w:pPr>
              <w:spacing w:after="0"/>
              <w:rPr>
                <w:sz w:val="12"/>
                <w:szCs w:val="12"/>
                <w:color w:val="auto"/>
              </w:rPr>
            </w:pPr>
          </w:p>
        </w:tc>
        <w:tc>
          <w:tcPr>
            <w:tcW w:w="82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Total</w:t>
            </w:r>
          </w:p>
        </w:tc>
      </w:tr>
      <w:tr>
        <w:trPr>
          <w:trHeight w:val="149"/>
        </w:trPr>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3"/>
              </w:rPr>
              <w:t>comprehensive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5"/>
              </w:rPr>
              <w:t>stockholders’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6"/>
              </w:rPr>
              <w:t>Noncontrolling</w:t>
            </w:r>
          </w:p>
        </w:tc>
        <w:tc>
          <w:tcPr>
            <w:tcW w:w="820" w:type="dxa"/>
            <w:vAlign w:val="bottom"/>
          </w:tcPr>
          <w:p>
            <w:pPr>
              <w:jc w:val="center"/>
              <w:ind w:left="37"/>
              <w:spacing w:after="0"/>
              <w:rPr>
                <w:sz w:val="20"/>
                <w:szCs w:val="20"/>
                <w:color w:val="auto"/>
              </w:rPr>
            </w:pPr>
            <w:r>
              <w:rPr>
                <w:rFonts w:ascii="Arial" w:cs="Arial" w:eastAsia="Arial" w:hAnsi="Arial"/>
                <w:sz w:val="13"/>
                <w:szCs w:val="13"/>
                <w:b w:val="1"/>
                <w:bCs w:val="1"/>
                <w:color w:val="auto"/>
                <w:w w:val="85"/>
              </w:rPr>
              <w:t>stockholders’</w:t>
            </w:r>
          </w:p>
        </w:tc>
      </w:tr>
      <w:tr>
        <w:trPr>
          <w:trHeight w:val="178"/>
        </w:trPr>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capital</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76"/>
              </w:rPr>
              <w:t>loss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equity</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1"/>
              </w:rPr>
              <w:t>interests</w:t>
            </w:r>
          </w:p>
        </w:tc>
        <w:tc>
          <w:tcPr>
            <w:tcW w:w="82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equity</w:t>
            </w:r>
          </w:p>
        </w:tc>
      </w:tr>
    </w:tbl>
    <w:p>
      <w:pPr>
        <w:spacing w:after="0" w:line="9" w:lineRule="exact"/>
        <w:rPr>
          <w:sz w:val="20"/>
          <w:szCs w:val="20"/>
          <w:color w:val="auto"/>
        </w:rPr>
      </w:pPr>
    </w:p>
    <w:p>
      <w:pPr>
        <w:sectPr>
          <w:pgSz w:w="11900" w:h="16838" w:orient="portrait"/>
          <w:cols w:equalWidth="0" w:num="2">
            <w:col w:w="5900" w:space="120"/>
            <w:col w:w="522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Balance at January 1, 2023</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126,387</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6,678</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716,233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(523,063)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194,554</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rPr>
              <w:t>Cumulative effect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0"/>
        </w:trPr>
        <w:tc>
          <w:tcPr>
            <w:tcW w:w="1660" w:type="dxa"/>
            <w:vAlign w:val="bottom"/>
          </w:tcPr>
          <w:p>
            <w:pPr>
              <w:ind w:left="20"/>
              <w:spacing w:after="0"/>
              <w:rPr>
                <w:sz w:val="20"/>
                <w:szCs w:val="20"/>
                <w:color w:val="auto"/>
              </w:rPr>
            </w:pPr>
            <w:r>
              <w:rPr>
                <w:rFonts w:ascii="Arial" w:cs="Arial" w:eastAsia="Arial" w:hAnsi="Arial"/>
                <w:sz w:val="13"/>
                <w:szCs w:val="13"/>
                <w:color w:val="auto"/>
                <w:w w:val="87"/>
              </w:rPr>
              <w:t>accounting change (see Note 2)</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(36,261)</w:t>
            </w:r>
          </w:p>
        </w:tc>
      </w:tr>
      <w:tr>
        <w:trPr>
          <w:trHeight w:val="173"/>
        </w:trPr>
        <w:tc>
          <w:tcPr>
            <w:tcW w:w="16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1,122</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61"/>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Issuance of common stock in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w w:val="89"/>
              </w:rPr>
              <w:t>connection with share-based</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83"/>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plans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94"/>
              </w:rPr>
              <w:t>Shares withheld for employee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0"/>
        </w:trPr>
        <w:tc>
          <w:tcPr>
            <w:tcW w:w="1660" w:type="dxa"/>
            <w:vAlign w:val="bottom"/>
          </w:tcPr>
          <w:p>
            <w:pPr>
              <w:ind w:left="20"/>
              <w:spacing w:after="0"/>
              <w:rPr>
                <w:sz w:val="20"/>
                <w:szCs w:val="20"/>
                <w:color w:val="auto"/>
              </w:rPr>
            </w:pPr>
            <w:r>
              <w:rPr>
                <w:rFonts w:ascii="Arial" w:cs="Arial" w:eastAsia="Arial" w:hAnsi="Arial"/>
                <w:sz w:val="13"/>
                <w:szCs w:val="13"/>
                <w:color w:val="auto"/>
              </w:rPr>
              <w:t>taxes</w:t>
            </w:r>
          </w:p>
        </w:tc>
        <w:tc>
          <w:tcPr>
            <w:tcW w:w="62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(759)</w:t>
            </w: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8"/>
              </w:rPr>
              <w:t>Conversion of Class B common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8"/>
        </w:trPr>
        <w:tc>
          <w:tcPr>
            <w:tcW w:w="1660" w:type="dxa"/>
            <w:vAlign w:val="bottom"/>
          </w:tcPr>
          <w:p>
            <w:pPr>
              <w:ind w:left="160"/>
              <w:spacing w:after="0"/>
              <w:rPr>
                <w:sz w:val="20"/>
                <w:szCs w:val="20"/>
                <w:color w:val="auto"/>
              </w:rPr>
            </w:pPr>
            <w:r>
              <w:rPr>
                <w:rFonts w:ascii="Arial" w:cs="Arial" w:eastAsia="Arial" w:hAnsi="Arial"/>
                <w:sz w:val="13"/>
                <w:szCs w:val="13"/>
                <w:color w:val="auto"/>
              </w:rPr>
              <w:t>stock to Class A common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1660" w:type="dxa"/>
            <w:vAlign w:val="bottom"/>
          </w:tcPr>
          <w:p>
            <w:pPr>
              <w:ind w:left="160"/>
              <w:spacing w:after="0"/>
              <w:rPr>
                <w:sz w:val="20"/>
                <w:szCs w:val="20"/>
                <w:color w:val="auto"/>
              </w:rPr>
            </w:pPr>
            <w:r>
              <w:rPr>
                <w:rFonts w:ascii="Arial" w:cs="Arial" w:eastAsia="Arial" w:hAnsi="Arial"/>
                <w:sz w:val="13"/>
                <w:szCs w:val="13"/>
                <w:color w:val="auto"/>
              </w:rPr>
              <w:t>stock</w:t>
            </w: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61"/>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Conversion of Class C common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49"/>
        </w:trPr>
        <w:tc>
          <w:tcPr>
            <w:tcW w:w="1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to Class A common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203"/>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stock</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166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133,258</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6,676</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717,191</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(559,190)</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(2,669)</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155,347</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3,019</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158,366</w:t>
            </w:r>
          </w:p>
        </w:tc>
      </w:tr>
      <w:tr>
        <w:trPr>
          <w:trHeight w:val="30"/>
        </w:trPr>
        <w:tc>
          <w:tcPr>
            <w:tcW w:w="1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27940</wp:posOffset>
            </wp:positionV>
            <wp:extent cx="6077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p>
      <w:pPr>
        <w:spacing w:after="0" w:line="147"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4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Common Stock –</w:t>
            </w:r>
          </w:p>
        </w:tc>
        <w:tc>
          <w:tcPr>
            <w:tcW w:w="14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Common Stock –</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Common Stock –</w:t>
            </w:r>
          </w:p>
        </w:tc>
      </w:tr>
      <w:tr>
        <w:trPr>
          <w:trHeight w:val="174"/>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Class A</w:t>
            </w:r>
          </w:p>
        </w:tc>
        <w:tc>
          <w:tcPr>
            <w:tcW w:w="8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Class C</w:t>
            </w:r>
          </w:p>
        </w:tc>
      </w:tr>
      <w:tr>
        <w:trPr>
          <w:trHeight w:val="173"/>
        </w:trPr>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720" w:type="dxa"/>
            <w:vAlign w:val="bottom"/>
          </w:tcPr>
          <w:p>
            <w:pPr>
              <w:ind w:left="160"/>
              <w:spacing w:after="0"/>
              <w:rPr>
                <w:sz w:val="20"/>
                <w:szCs w:val="20"/>
                <w:color w:val="auto"/>
              </w:rPr>
            </w:pPr>
            <w:r>
              <w:rPr>
                <w:rFonts w:ascii="Arial" w:cs="Arial" w:eastAsia="Arial" w:hAnsi="Arial"/>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6"/>
              </w:rPr>
              <w:t>other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BuzzFeed, Inc.</w:t>
            </w:r>
          </w:p>
        </w:tc>
        <w:tc>
          <w:tcPr>
            <w:tcW w:w="980" w:type="dxa"/>
            <w:vAlign w:val="bottom"/>
          </w:tcPr>
          <w:p>
            <w:pPr>
              <w:spacing w:after="0"/>
              <w:rPr>
                <w:sz w:val="12"/>
                <w:szCs w:val="12"/>
                <w:color w:val="auto"/>
              </w:rPr>
            </w:pPr>
          </w:p>
        </w:tc>
        <w:tc>
          <w:tcPr>
            <w:tcW w:w="82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paid-in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Accumulated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8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8"/>
        </w:trPr>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capital</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76"/>
              </w:rPr>
              <w:t>loss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equity</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1"/>
              </w:rPr>
              <w:t>interests</w:t>
            </w:r>
          </w:p>
        </w:tc>
        <w:tc>
          <w:tcPr>
            <w:tcW w:w="82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equity</w:t>
            </w:r>
          </w:p>
        </w:tc>
      </w:tr>
    </w:tbl>
    <w:p>
      <w:pPr>
        <w:spacing w:after="0" w:line="1" w:lineRule="exact"/>
        <w:rPr>
          <w:sz w:val="20"/>
          <w:szCs w:val="20"/>
          <w:color w:val="auto"/>
        </w:rPr>
      </w:pPr>
    </w:p>
    <w:p>
      <w:pPr>
        <w:sectPr>
          <w:pgSz w:w="11900" w:h="16838" w:orient="portrait"/>
          <w:cols w:equalWidth="0" w:num="2">
            <w:col w:w="5900" w:space="120"/>
            <w:col w:w="522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Balance at January 1, 2022</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116,175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CCEEFF"/>
            </w:tcBorders>
            <w:shd w:val="clear" w:color="auto" w:fill="CCEEFF"/>
          </w:tcPr>
          <w:p>
            <w:pPr>
              <w:jc w:val="center"/>
              <w:ind w:left="117"/>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jc w:val="center"/>
              <w:ind w:left="117"/>
              <w:spacing w:after="0"/>
              <w:rPr>
                <w:sz w:val="20"/>
                <w:szCs w:val="20"/>
                <w:color w:val="auto"/>
              </w:rPr>
            </w:pPr>
            <w:r>
              <w:rPr>
                <w:rFonts w:ascii="Arial" w:cs="Arial" w:eastAsia="Arial" w:hAnsi="Arial"/>
                <w:sz w:val="13"/>
                <w:szCs w:val="13"/>
                <w:color w:val="auto"/>
                <w:w w:val="82"/>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695,869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(322,106)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370,543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372,587</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440" w:type="dxa"/>
            <w:vAlign w:val="bottom"/>
            <w:gridSpan w:val="2"/>
          </w:tcPr>
          <w:p>
            <w:pPr>
              <w:jc w:val="center"/>
              <w:ind w:left="3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440" w:type="dxa"/>
            <w:vAlign w:val="bottom"/>
            <w:gridSpan w:val="2"/>
          </w:tcPr>
          <w:p>
            <w:pPr>
              <w:jc w:val="center"/>
              <w:ind w:left="57"/>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(44,894)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(44,730)</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6"/>
              </w:rPr>
              <w:t>Issuance of common stock upon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440" w:type="dxa"/>
            <w:vAlign w:val="bottom"/>
            <w:gridSpan w:val="2"/>
            <w:vMerge w:val="restart"/>
          </w:tcPr>
          <w:p>
            <w:pPr>
              <w:jc w:val="center"/>
              <w:ind w:left="37"/>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4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359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68"/>
        </w:trPr>
        <w:tc>
          <w:tcPr>
            <w:tcW w:w="166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1"/>
        </w:trPr>
        <w:tc>
          <w:tcPr>
            <w:tcW w:w="1660" w:type="dxa"/>
            <w:vAlign w:val="bottom"/>
          </w:tcPr>
          <w:p>
            <w:pPr>
              <w:ind w:left="20"/>
              <w:spacing w:after="0"/>
              <w:rPr>
                <w:sz w:val="20"/>
                <w:szCs w:val="20"/>
                <w:color w:val="auto"/>
              </w:rPr>
            </w:pPr>
            <w:r>
              <w:rPr>
                <w:rFonts w:ascii="Arial" w:cs="Arial" w:eastAsia="Arial" w:hAnsi="Arial"/>
                <w:sz w:val="13"/>
                <w:szCs w:val="13"/>
                <w:color w:val="auto"/>
                <w:w w:val="88"/>
              </w:rPr>
              <w:t>Conversion of Class B common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60"/>
              <w:spacing w:after="0"/>
              <w:rPr>
                <w:sz w:val="20"/>
                <w:szCs w:val="20"/>
                <w:color w:val="auto"/>
              </w:rPr>
            </w:pPr>
            <w:r>
              <w:rPr>
                <w:rFonts w:ascii="Arial" w:cs="Arial" w:eastAsia="Arial" w:hAnsi="Arial"/>
                <w:sz w:val="13"/>
                <w:szCs w:val="13"/>
                <w:color w:val="auto"/>
              </w:rPr>
              <w:t>stock to Class A common</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vMerge w:val="restart"/>
          </w:tcPr>
          <w:p>
            <w:pPr>
              <w:jc w:val="center"/>
              <w:ind w:left="37"/>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4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660" w:type="dxa"/>
            <w:vAlign w:val="bottom"/>
          </w:tcPr>
          <w:p>
            <w:pPr>
              <w:ind w:left="160"/>
              <w:spacing w:after="0"/>
              <w:rPr>
                <w:sz w:val="20"/>
                <w:szCs w:val="20"/>
                <w:color w:val="auto"/>
              </w:rPr>
            </w:pPr>
            <w:r>
              <w:rPr>
                <w:rFonts w:ascii="Arial" w:cs="Arial" w:eastAsia="Arial" w:hAnsi="Arial"/>
                <w:sz w:val="13"/>
                <w:szCs w:val="13"/>
                <w:color w:val="auto"/>
              </w:rPr>
              <w:t>stock</w:t>
            </w: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116,689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CCEEFF"/>
            </w:tcBorders>
            <w:shd w:val="clear" w:color="auto" w:fill="CCEEFF"/>
          </w:tcPr>
          <w:p>
            <w:pPr>
              <w:jc w:val="center"/>
              <w:ind w:left="117"/>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jc w:val="center"/>
              <w:ind w:left="117"/>
              <w:spacing w:after="0"/>
              <w:rPr>
                <w:sz w:val="20"/>
                <w:szCs w:val="20"/>
                <w:color w:val="auto"/>
              </w:rPr>
            </w:pPr>
            <w:r>
              <w:rPr>
                <w:rFonts w:ascii="Arial" w:cs="Arial" w:eastAsia="Arial" w:hAnsi="Arial"/>
                <w:sz w:val="13"/>
                <w:szCs w:val="13"/>
                <w:color w:val="auto"/>
                <w:w w:val="82"/>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700,167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(367,000)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329,845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332,053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231F20"/>
              </w:rPr>
              <w:t>Net loss</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(36,261)</w:t>
            </w:r>
          </w:p>
        </w:tc>
        <w:tc>
          <w:tcPr>
            <w:tcW w:w="100" w:type="dxa"/>
            <w:vAlign w:val="bottom"/>
          </w:tcPr>
          <w:p>
            <w:pPr>
              <w:spacing w:after="0"/>
              <w:rPr>
                <w:sz w:val="16"/>
                <w:szCs w:val="16"/>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(44,566)</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231F20"/>
              </w:rPr>
              <w:t>Adjustments to reconcile net loss to net cash (used in) provided by operating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8,405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8,481</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231F20"/>
              </w:rPr>
              <w:t>Unrealized (gain) loss on foreign currency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142</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231F20"/>
              </w:rPr>
              <w:t>Stock based compensation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1,122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3,940</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231F20"/>
              </w:rPr>
              <w:t>Change in fair value of warrants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3,416</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231F20"/>
              </w:rPr>
              <w:t>Change in fair value of derivative liability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1,575</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231F20"/>
              </w:rPr>
              <w:t>Amortization of debt discount and deferred issuance costs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1,154</w:t>
            </w:r>
          </w:p>
        </w:tc>
      </w:tr>
      <w:tr>
        <w:trPr>
          <w:trHeight w:val="191"/>
        </w:trPr>
        <w:tc>
          <w:tcPr>
            <w:tcW w:w="8180" w:type="dxa"/>
            <w:vAlign w:val="bottom"/>
          </w:tcPr>
          <w:p>
            <w:pPr>
              <w:ind w:left="100"/>
              <w:spacing w:after="0"/>
              <w:rPr>
                <w:sz w:val="20"/>
                <w:szCs w:val="20"/>
                <w:color w:val="auto"/>
              </w:rPr>
            </w:pPr>
            <w:r>
              <w:rPr>
                <w:rFonts w:ascii="Arial" w:cs="Arial" w:eastAsia="Arial" w:hAnsi="Arial"/>
                <w:sz w:val="14"/>
                <w:szCs w:val="14"/>
                <w:color w:val="auto"/>
              </w:rPr>
              <w:t>Deferred income tax</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507</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Provision for doubtful accounts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574</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rPr>
              <w:t>Unrealized gain on investment</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231F20"/>
              </w:rPr>
              <w: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(1,260)</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Gain on disposition of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w:t>
            </w:r>
          </w:p>
        </w:tc>
      </w:tr>
      <w:tr>
        <w:trPr>
          <w:trHeight w:val="190"/>
        </w:trPr>
        <w:tc>
          <w:tcPr>
            <w:tcW w:w="8180" w:type="dxa"/>
            <w:vAlign w:val="bottom"/>
          </w:tcPr>
          <w:p>
            <w:pPr>
              <w:ind w:left="100"/>
              <w:spacing w:after="0"/>
              <w:rPr>
                <w:sz w:val="20"/>
                <w:szCs w:val="20"/>
                <w:color w:val="auto"/>
              </w:rPr>
            </w:pPr>
            <w:r>
              <w:rPr>
                <w:rFonts w:ascii="Arial" w:cs="Arial" w:eastAsia="Arial" w:hAnsi="Arial"/>
                <w:sz w:val="14"/>
                <w:szCs w:val="14"/>
                <w:color w:val="auto"/>
              </w:rPr>
              <w:t>Non-cash lease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5,034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4,690</w:t>
            </w:r>
          </w:p>
        </w:tc>
      </w:tr>
      <w:tr>
        <w:trPr>
          <w:trHeight w:val="26"/>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43,837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44,227</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 and prepaid expenses and other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2,864</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(5,741)</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(12,772)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w w:val="95"/>
              </w:rPr>
              <w:t>(10,117)</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231F20"/>
              </w:rPr>
              <w:t>Accrued expenses, other current liabilities and other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(4,688)</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231F20"/>
              </w:rPr>
              <w:t>Lease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(5,517)</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1,461</w:t>
            </w:r>
          </w:p>
        </w:tc>
      </w:tr>
      <w:tr>
        <w:trPr>
          <w:trHeight w:val="25"/>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(used in) provided by operating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1,142</w:t>
            </w:r>
          </w:p>
        </w:tc>
      </w:tr>
      <w:tr>
        <w:trPr>
          <w:trHeight w:val="270"/>
        </w:trPr>
        <w:tc>
          <w:tcPr>
            <w:tcW w:w="8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(2,369)</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Capitalization of internal-use software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(3,553)</w:t>
            </w: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color w:val="auto"/>
              </w:rPr>
              <w:t>Proceeds from sale of asset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175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5"/>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used in investing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(4,201)</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(5,922)</w:t>
            </w:r>
          </w:p>
        </w:tc>
      </w:tr>
      <w:tr>
        <w:trPr>
          <w:trHeight w:val="270"/>
        </w:trPr>
        <w:tc>
          <w:tcPr>
            <w:tcW w:w="8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29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231F20"/>
              </w:rPr>
              <w:t>358</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for shares withheld for employee taxes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w:t>
            </w: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Payment on Revolving Credit Facility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(1,317)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reverse recapitalization costs</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Cash used in financing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(1,481)</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(227)</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currency translation on cash and cash equivalents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34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(186)</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(5,827)</w:t>
            </w: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(5,193)</w:t>
            </w:r>
          </w:p>
        </w:tc>
      </w:tr>
      <w:tr>
        <w:trPr>
          <w:trHeight w:val="25"/>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55,774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231F20"/>
              </w:rPr>
              <w:t>79,733</w:t>
            </w:r>
          </w:p>
        </w:tc>
      </w:tr>
      <w:tr>
        <w:trPr>
          <w:trHeight w:val="210"/>
        </w:trPr>
        <w:tc>
          <w:tcPr>
            <w:tcW w:w="81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49,947</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74,540</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(Tabular amounts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BuzzFeed, Inc. (referred to herein, collectively with its subsidiaries, as “BuzzFeed” or the “Company”) is a premier digital media company for the most diverse, most online, and most socially connected generations the world has ever seen. Across food, news, pop culture and commerce, our brands drive conversation and inspire what audiences watch, read, and buy now — and into the future. The Company’s portfolio of iconic, globally-loved brands includes BuzzFeed, HuffPost, Tasty, Complex Networks, and First We Feast. BuzzFeed derives its revenue primarily from advertising, content, and commerce and other sold to leading brands. The Company has one reportable segment.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concurrently with the closing of the Business Combination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digital media company, the Company is subject to certain inherent risks and uncertainties associated with the development of its business. To date, substantially all of the Company’s efforts have been devoted to the growth of its owned and operated properties and portfolio of brands. This includes the Company’s proprietary technology infrastructure, advertising solutions, content creation tools, and more. The Company has invested in the recruitment of key management and technical staff and has acquired certain businesses. These investments have historically been funded by raising outside capital, and as a result of these efforts, the Company has generally incurred significant losses and used net cash outflows from operations since inception — and it may continue to incur such losses and use net cash outflows for the foreseeable future until such time it reaches scale of profitability without needing to rely on funding from outside capital to sustain its operations.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execute its growth strategy, the Company has historically relied on outside capital through the issuance of equity, debt, and borrowings under financing arrangements (collectively “outside capital”). The Company may continue to rely on outside capital for the foreseeable future. While the Company believes it will eventually reach a scale of profitability to sustain its operations, there can be no assurance it will be able to achieve such profitability or do so in a manner that does not necessitate its continued reliance on outside capital.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the condensed consolidated financial statements were issued (the “issuance date”), the presence of the following risks and uncertainties associated with the Company’s financial condition may adversely affect our ability to sustain its operations over the next twelve months beyond the issuance date.</w:t>
      </w:r>
    </w:p>
    <w:p>
      <w:pPr>
        <w:spacing w:after="0" w:line="184" w:lineRule="exact"/>
        <w:rPr>
          <w:sz w:val="20"/>
          <w:szCs w:val="20"/>
          <w:color w:val="auto"/>
        </w:rPr>
      </w:pPr>
    </w:p>
    <w:p>
      <w:pPr>
        <w:jc w:val="both"/>
        <w:ind w:left="1300" w:hanging="644"/>
        <w:spacing w:after="0" w:line="255"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its inception, the Company has generally incurred significant losses and used net cash flows from operations to grow its owned and operated properties and portfolio of brands. During the three months ended March 31, 2023, the Company incurred a net loss of $36.3 million and used net cash flows from its operations of $0.2 million. Additionally, as of March 31, 2023, the Company had unrestricted cash and cash equivalents of $49.9 million available to fund its operations, $2.3 million available under the Company’s $50.0 million revolving loan and standby letter of credit facility agreement (the “Revolving Credit Facility”) (see Note 9 herein for additional details), and an accumulated deficit of $559.2 million.</w:t>
      </w:r>
    </w:p>
    <w:p>
      <w:pPr>
        <w:spacing w:after="0" w:line="19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to continue to be impacted by the challenging U.S. and global macroeconomic environment, which could adversely impact its ability to grow revenue over the next twelve months beyond the issuance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1300" w:hanging="644"/>
        <w:spacing w:after="0" w:line="263"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continues to be affected by its ongoing efforts to integrate Complex Networks and sales execution against the combined brand portfolio, which may result in the incurrence of unexpected expenses or the inability to realize in anticipated benefits and synergies over the next twelve months beyond the issuance date.</w:t>
      </w:r>
    </w:p>
    <w:p>
      <w:pPr>
        <w:spacing w:after="0" w:line="183" w:lineRule="exact"/>
        <w:rPr>
          <w:rFonts w:ascii="Arial" w:cs="Arial" w:eastAsia="Arial" w:hAnsi="Arial"/>
          <w:sz w:val="18"/>
          <w:szCs w:val="18"/>
          <w:color w:val="auto"/>
        </w:rPr>
      </w:pPr>
    </w:p>
    <w:p>
      <w:pPr>
        <w:jc w:val="both"/>
        <w:ind w:left="1300" w:hanging="644"/>
        <w:spacing w:after="0" w:line="289"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is required to remain in compliance with certain covenants required by the Revolving Credit Facility, which, among others, require it to maintain a minimum of $25.0 million of unrestricted cash at all times and limit, under prescribed circumstances, its ability to incur additional indebtedness, pay dividends, hold unpermitted investments or make material changes to the business. While the Company was in compliance with the financial covenants under the Revolving Credit Facility as of March 31, 2023, and it expects to remain in compliance throughout twelve months beyond the issuance date, the Company may be unable to remain in compliance with one or more of these covenants if it is unable to generate net cash inflows from operations or, if necessary, secure additional outside capital. In the event the Company is unable to remain in compliance with one or more of the aforementioned covenants, and it is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risks and uncertainties described above, the Company continues to carefully evaluate its liquidity position. The Company recognizes the significant challenge of maintaining sufficient liquidity to sustain its operations or remain in compliance with one or more of the covenants required by the Revolving Credit Facility, for the next twelve months beyond the issuance date. However, notwithstanding its liquidity position as of the issuance date, and while it is difficult to predict its future liquidity requirements with certainty, the Company currently expects it will be able to generate sufficient liquidity to fund its operations over the next twelve months beyond the issuance date.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response to the risks and uncertainties described above, the Company may plan to secure additional outside capital over the next twelve months beyond the issuance date. While the Company has historically been successful in its ability to secure outside capital, as of the issuance date, the Company had no firm commitments of additional outside capital. The Company can provide no assurance it will be able to continue to secure outside capital in the future or do so on terms that are acceptable to it. Furthermore, the Company also plans to continue to closely monitor its cash flow forecast and, if necessary, it will implement certain incremental cost savings to preserve its liquidity beyond those that were implemented through the restructuring activities that occurred during fiscal year 2022 and 2023 (see Note 19 herein for additional details) or through the reduction of its real estate footprint. While the Company currently expects it will be able to generate sufficient liquidity to fund its operations for the next twelve months beyond the issuance date, it can provide no assurance it will successfully generate such liquidity, or if necessary, secure additional outside capital or implement incremental cost savings.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2020, the World Health Organization declared the viral strain of COVID-19 a global pandemic and recommended containment and mitigation measures worldwide. The spread of COVID-19 and the resulting economic contraction resulted in increased business uncertainty and significantly impacted the Company’s business and results of operations. While the extent of the impact has generally decreased, the Company continues to monitor the status, and respond to the effects of, the COVID-19 pandemic and its impact on the Company’s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and applicable rules and regulations of 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2022, as disclosed in the Company’s Annual Report on Form 10-K for the year ended December 31, 2022.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2023.</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2016, the Financial Accounting Standards Board issued Accounting Standards Update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w:t>
      </w:r>
      <w:r>
        <w:rPr>
          <w:rFonts w:ascii="Arial" w:cs="Arial" w:eastAsia="Arial" w:hAnsi="Arial"/>
          <w:sz w:val="17"/>
          <w:szCs w:val="17"/>
          <w:color w:val="auto"/>
        </w:rPr>
        <w:t>, which changes the impairment model for most financial assets, including accounts receivable, and replaces the existing incurred loss</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model with an expected loss methodology, which will result in more timely recognition of credit losses. The guidance is effective for the Company for interim and annual periods beginning after December 15, 2022, with early adoption permitted. Effective January 1, 2023, the Company adopted this standard using a modified retrospective transition approach, which required a cumulative effect adjustment to the balance sheet as of January 1, 2023. The adoption of this standard did not have a material impact to our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both"/>
        <w:ind w:right="8800" w:firstLine="8"/>
        <w:spacing w:after="0" w:line="603" w:lineRule="auto"/>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and Dispositions Complex Networks Acquisition</w:t>
      </w:r>
    </w:p>
    <w:p>
      <w:pPr>
        <w:spacing w:after="0" w:line="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December 3, 2021, in conjunction with the Business Combination, the Company completed the acquisition of 100% of the members’ interests of Complex Networks, a publisher of online media content targeting Millennial and Gen Z consumers (the “Complex Networks Acquisition”).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consideration exchanged as a result of the Complex Networks Acquisition: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197,966</w:t>
            </w:r>
          </w:p>
        </w:tc>
      </w:tr>
      <w:tr>
        <w:trPr>
          <w:trHeight w:val="256"/>
        </w:trPr>
        <w:tc>
          <w:tcPr>
            <w:tcW w:w="976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3"/>
                <w:szCs w:val="23"/>
                <w:color w:val="auto"/>
                <w:vertAlign w:val="superscript"/>
              </w:rPr>
              <w:t>(2)</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96,200</w:t>
            </w:r>
          </w:p>
        </w:tc>
      </w:tr>
      <w:tr>
        <w:trPr>
          <w:trHeight w:val="275"/>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left="340" w:right="200" w:hanging="332"/>
        <w:spacing w:after="0" w:line="260"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cash purchase price of $200.0 million adjusted for certain closing specified liabilities as specified in the Complex Networks Acquisition purchase agreement.</w:t>
      </w:r>
    </w:p>
    <w:p>
      <w:pPr>
        <w:spacing w:after="0" w:line="104" w:lineRule="exact"/>
        <w:rPr>
          <w:rFonts w:ascii="Arial" w:cs="Arial" w:eastAsia="Arial" w:hAnsi="Arial"/>
          <w:sz w:val="18"/>
          <w:szCs w:val="18"/>
          <w:color w:val="auto"/>
        </w:rPr>
      </w:pPr>
    </w:p>
    <w:p>
      <w:pPr>
        <w:ind w:left="340" w:right="42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10,000,000 shares of our Class A common stock at a price of $9.62 per share, which is based on the closing stock price of our Class A common stock on the date on which the Business Combination was consummated.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summarizes the determination of the fair value of identifiable assets acquired and liabilities assumed in connection with the Complex Networks Acquisition. During the year ended December 31, 2022, the Company finalized the fair value of assets acquired and liabilities assumed. Measurement period adjustments were reflected during the year ended December 31, 2022, which is the period in which the adjustments occurred. The adjustments resulted from new information obtained about facts and circumstances that existed as of the acquisition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Measurement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Preliminary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13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22,592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188,482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for Complex Networks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294,166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80" w:type="dxa"/>
            <w:vAlign w:val="bottom"/>
            <w:gridSpan w:val="4"/>
          </w:tcPr>
          <w:p>
            <w:pPr>
              <w:ind w:left="660"/>
              <w:spacing w:after="0"/>
              <w:rPr>
                <w:sz w:val="20"/>
                <w:szCs w:val="20"/>
                <w:color w:val="auto"/>
              </w:rPr>
            </w:pPr>
            <w:r>
              <w:rPr>
                <w:rFonts w:ascii="Arial" w:cs="Arial" w:eastAsia="Arial" w:hAnsi="Arial"/>
                <w:sz w:val="18"/>
                <w:szCs w:val="18"/>
                <w:color w:val="auto"/>
              </w:rPr>
              <w:t>The table below indicates the estimated fair value of each of the identifiable intangible 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Asset Fair Value</w:t>
            </w: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Useful Life (Years)</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Trademarks &amp; tradenames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231F20"/>
              </w:rPr>
              <w:t>Customer relationships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231F20"/>
              </w:rPr>
              <w:t>17,000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Developed technology</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$188.5 million of goodwill, which is primarily attributed to workforce and synergies, and is not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reviews goodwill for impairment annually as of October 1 and more frequently if events or changes in circumstances indicate an impairment may exist (a “triggering event”). As of March 31, 2023, the Company had $91.6 million of goodwill recorded on its condensed consolidated balance sheet. During the year ended December 31, 2022, the Company recorded a $102.3 million non-cash goodwill impairment charge driven by a sustained decline in share price that pushed our market capitalization below the carrying value of our stockholders’ equity. The Company concluded there were no new impairment triggering events as of and for the three months ended March 31, 2023.</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9420" w:firstLine="8"/>
        <w:spacing w:after="0" w:line="603"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Disaggregated Revenue</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Content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21,618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32,279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Commerce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11,287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67,153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91,558</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presents the Company’s revenue disaggregated by geography:</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180" w:type="dxa"/>
            <w:vAlign w:val="bottom"/>
          </w:tcPr>
          <w:p>
            <w:pPr>
              <w:spacing w:after="0"/>
              <w:rPr>
                <w:sz w:val="24"/>
                <w:szCs w:val="24"/>
                <w:color w:val="auto"/>
              </w:rPr>
            </w:pPr>
          </w:p>
        </w:tc>
        <w:tc>
          <w:tcPr>
            <w:tcW w:w="3060" w:type="dxa"/>
            <w:vAlign w:val="bottom"/>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62,601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83,100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67,153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type, but the substantial majority require that customers pay for their services on a monthly or quarterly basis, as the services are being provided. When the timing of revenue recognition differs from the timing of payments made by customers, the Company recognizes either unbilled revenue (performance precedes the billing date) or deferred revenue (customer payment is received in advance of performance). The Company has determined its contracts generally do not include a significant financing component.</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contract assets are presented in Prepaid and other current assets on the accompanying condensed consolidated balance sheets and totaled $8.1 million and $12.1 million at March 31, 2023 and December 31, 2022, respectively. These amounts relate to revenue recognized during the respective period that is expected to be invoiced and collected in future periods.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contract liabilities, which are recorded in Deferred revenue on the accompanying condensed consolidated balance sheets, are expected to be recognized as revenues during the succeeding twelve-month period. Deferred revenue totaled $6.4 million and $8.8 million at March 31, 2023 and December 31, 2022,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of revenue recognized during the three months ended March 31, 2023 that was included in the deferred revenue balance as of December 31, 2022 was $2.9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certain licensing contracts with minimum guarantees and terms extending beyond one year. Revenue to be recognized related to the remaining performance obligations was $1.3 million at March 31, 2023 and is expected to be recognized over the next two years. This amount does not include: (i) contracts with an original expected duration of one year or less, such as advertising contracts; (ii) variable consideration in the form of sales-based royalties; or (iii) variable consideration allocated entirely to wholly unperformed performance obligations.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each contract, 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financial assets and liabilities that are measured at fair value on a recurring basis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4"/>
          </w:tcPr>
          <w:p>
            <w:pPr>
              <w:ind w:left="740"/>
              <w:spacing w:after="0"/>
              <w:rPr>
                <w:sz w:val="20"/>
                <w:szCs w:val="20"/>
                <w:color w:val="auto"/>
              </w:rPr>
            </w:pPr>
            <w:r>
              <w:rPr>
                <w:rFonts w:ascii="Arial" w:cs="Arial" w:eastAsia="Arial" w:hAnsi="Arial"/>
                <w:sz w:val="14"/>
                <w:szCs w:val="14"/>
                <w:b w:val="1"/>
                <w:bCs w:val="1"/>
                <w:color w:val="auto"/>
                <w:w w:val="98"/>
              </w:rPr>
              <w:t>March 31, 2023</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39"/>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r>
      <w:tr>
        <w:trPr>
          <w:trHeight w:val="237"/>
        </w:trPr>
        <w:tc>
          <w:tcPr>
            <w:tcW w:w="5000" w:type="dxa"/>
            <w:vAlign w:val="bottom"/>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25,017</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25,017</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Arial" w:cs="Arial" w:eastAsia="Arial" w:hAnsi="Arial"/>
                <w:sz w:val="18"/>
                <w:szCs w:val="18"/>
                <w:color w:val="auto"/>
              </w:rPr>
              <w:t>Derivative liability</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10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5000" w:type="dxa"/>
            <w:vAlign w:val="bottom"/>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10</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7"/>
          </w:tcPr>
          <w:p>
            <w:pPr>
              <w:ind w:left="620"/>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50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39"/>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37"/>
        </w:trPr>
        <w:tc>
          <w:tcPr>
            <w:tcW w:w="500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Arial" w:cs="Arial" w:eastAsia="Arial" w:hAnsi="Arial"/>
                <w:sz w:val="18"/>
                <w:szCs w:val="18"/>
                <w:color w:val="auto"/>
              </w:rPr>
              <w:t>Derivative liability</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79"/>
              </w:rPr>
              <w:t>11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500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0"/>
        </w:trPr>
        <w:tc>
          <w:tcPr>
            <w:tcW w:w="5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warrant liability as of March 31, 2023 and December 31, 2022 includes public and private warrants that were originally issued by 890, but which were assumed by the Company as part of the closing of the Business Combination (the “Public Warrants” and “Private Warrants,” respectively), which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$0.10 and $0.04 as of March 31, 2023 and December 31, 2022, respectively.</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March 31, 2023 and December 31, 2022,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quantitative information regarding the significant unobservable inputs used by the Company related to the derivative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w w:val="98"/>
              </w:rPr>
              <w:t>December 31, 2022</w:t>
            </w:r>
          </w:p>
        </w:tc>
      </w:tr>
      <w:tr>
        <w:trPr>
          <w:trHeight w:val="39"/>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(in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600" w:type="dxa"/>
            <w:vAlign w:val="bottom"/>
          </w:tcPr>
          <w:p>
            <w:pPr>
              <w:jc w:val="right"/>
              <w:spacing w:after="0"/>
              <w:rPr>
                <w:sz w:val="20"/>
                <w:szCs w:val="20"/>
                <w:color w:val="auto"/>
              </w:rPr>
            </w:pPr>
            <w:r>
              <w:rPr>
                <w:rFonts w:ascii="Arial" w:cs="Arial" w:eastAsia="Arial" w:hAnsi="Arial"/>
                <w:sz w:val="18"/>
                <w:szCs w:val="18"/>
                <w:color w:val="auto"/>
              </w:rPr>
              <w:t>3.74 %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733"/>
              <w:spacing w:after="0"/>
              <w:rPr>
                <w:sz w:val="20"/>
                <w:szCs w:val="20"/>
                <w:color w:val="auto"/>
              </w:rPr>
            </w:pPr>
            <w:r>
              <w:rPr>
                <w:rFonts w:ascii="Arial" w:cs="Arial" w:eastAsia="Arial" w:hAnsi="Arial"/>
                <w:sz w:val="18"/>
                <w:szCs w:val="18"/>
                <w:color w:val="auto"/>
                <w:w w:val="89"/>
              </w:rPr>
              <w:t>4.11 %</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713"/>
              <w:spacing w:after="0"/>
              <w:rPr>
                <w:sz w:val="20"/>
                <w:szCs w:val="20"/>
                <w:color w:val="auto"/>
              </w:rPr>
            </w:pPr>
            <w:r>
              <w:rPr>
                <w:rFonts w:ascii="Arial" w:cs="Arial" w:eastAsia="Arial" w:hAnsi="Arial"/>
                <w:sz w:val="18"/>
                <w:szCs w:val="18"/>
                <w:color w:val="auto"/>
                <w:w w:val="92"/>
              </w:rPr>
              <w:t>76.6 %</w:t>
            </w:r>
          </w:p>
        </w:tc>
      </w:tr>
      <w:tr>
        <w:trPr>
          <w:trHeight w:val="513"/>
        </w:trPr>
        <w:tc>
          <w:tcPr>
            <w:tcW w:w="7940" w:type="dxa"/>
            <w:vAlign w:val="bottom"/>
          </w:tcPr>
          <w:p>
            <w:pPr>
              <w:ind w:left="660"/>
              <w:spacing w:after="0"/>
              <w:rPr>
                <w:sz w:val="20"/>
                <w:szCs w:val="20"/>
                <w:color w:val="auto"/>
              </w:rPr>
            </w:pPr>
            <w:r>
              <w:rPr>
                <w:rFonts w:ascii="Arial" w:cs="Arial" w:eastAsia="Arial" w:hAnsi="Arial"/>
                <w:sz w:val="18"/>
                <w:szCs w:val="18"/>
                <w:color w:val="auto"/>
              </w:rPr>
              <w:t>The following table represents the activity of the Level 3 instruments: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3"/>
        </w:trPr>
        <w:tc>
          <w:tcPr>
            <w:tcW w:w="7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Derivative Liability</w:t>
            </w:r>
          </w:p>
        </w:tc>
      </w:tr>
      <w:tr>
        <w:trPr>
          <w:trHeight w:val="39"/>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713"/>
              <w:spacing w:after="0"/>
              <w:rPr>
                <w:sz w:val="20"/>
                <w:szCs w:val="20"/>
                <w:color w:val="auto"/>
              </w:rPr>
            </w:pPr>
            <w:r>
              <w:rPr>
                <w:rFonts w:ascii="Arial" w:cs="Arial" w:eastAsia="Arial" w:hAnsi="Arial"/>
                <w:sz w:val="18"/>
                <w:szCs w:val="18"/>
                <w:color w:val="auto"/>
                <w:w w:val="88"/>
              </w:rPr>
              <w:t>1,005</w:t>
            </w: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w w:val="88"/>
              </w:rPr>
              <w:t>1,185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fair value measurement levels during the three months ended March 31,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2023 and December 31, 2022, the Company had an investment in equity securities of a privately-held company without a readily determinable fair value. The total carrying value of the investment, included in Prepaid and other assets on the condensed consolidated balance sheets, was $3.6 million as of March 31, 2023 and December 31,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December 31, 2022</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6,069</w:t>
            </w: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Video equipment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(45,404)</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totaled $1.7 million and $2.5 million for the three months ended March 31, 2023 and 2022, respectively, included in Depreciation and amortization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costs, net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December 31, 2022</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Website and internal-use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center"/>
              <w:ind w:left="575"/>
              <w:spacing w:after="0"/>
              <w:rPr>
                <w:sz w:val="20"/>
                <w:szCs w:val="20"/>
                <w:color w:val="auto"/>
              </w:rPr>
            </w:pPr>
            <w:r>
              <w:rPr>
                <w:rFonts w:ascii="Arial" w:cs="Arial" w:eastAsia="Arial" w:hAnsi="Arial"/>
                <w:sz w:val="18"/>
                <w:szCs w:val="18"/>
                <w:color w:val="auto"/>
                <w:w w:val="87"/>
              </w:rPr>
              <w:t>79,845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color w:val="auto"/>
                <w:w w:val="87"/>
              </w:rPr>
              <w:t>75,871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300" w:type="dxa"/>
            <w:vAlign w:val="bottom"/>
          </w:tcPr>
          <w:p>
            <w:pPr>
              <w:jc w:val="center"/>
              <w:ind w:left="555"/>
              <w:spacing w:after="0"/>
              <w:rPr>
                <w:sz w:val="20"/>
                <w:szCs w:val="20"/>
                <w:color w:val="auto"/>
              </w:rPr>
            </w:pPr>
            <w:r>
              <w:rPr>
                <w:rFonts w:ascii="Arial" w:cs="Arial" w:eastAsia="Arial" w:hAnsi="Arial"/>
                <w:sz w:val="18"/>
                <w:szCs w:val="18"/>
                <w:color w:val="auto"/>
                <w:w w:val="92"/>
              </w:rPr>
              <w:t>(59,497)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615"/>
              <w:spacing w:after="0"/>
              <w:rPr>
                <w:sz w:val="20"/>
                <w:szCs w:val="20"/>
                <w:color w:val="auto"/>
              </w:rPr>
            </w:pPr>
            <w:r>
              <w:rPr>
                <w:rFonts w:ascii="Arial" w:cs="Arial" w:eastAsia="Arial" w:hAnsi="Arial"/>
                <w:sz w:val="18"/>
                <w:szCs w:val="18"/>
                <w:color w:val="auto"/>
                <w:w w:val="92"/>
              </w:rPr>
              <w:t>(56,612)</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87"/>
              </w:rPr>
              <w:t>20,348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center"/>
              <w:ind w:left="635"/>
              <w:spacing w:after="0"/>
              <w:rPr>
                <w:sz w:val="20"/>
                <w:szCs w:val="20"/>
                <w:color w:val="auto"/>
              </w:rPr>
            </w:pPr>
            <w:r>
              <w:rPr>
                <w:rFonts w:ascii="Arial" w:cs="Arial" w:eastAsia="Arial" w:hAnsi="Arial"/>
                <w:sz w:val="18"/>
                <w:szCs w:val="18"/>
                <w:color w:val="auto"/>
                <w:w w:val="87"/>
              </w:rPr>
              <w:t>19,259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capitalized $4.0 million and $3.6 million for the three months ended March 31, 2023 and 2022, respectively, included in Capitalized software costs. The Company amortized $2.9 million and $2.2 million for the three months ended March 31, 2023 and 2022, respectively, included in Depreciation and amortization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intangible assets for the periods presented and the weighted average remaining useful lives: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March 31, 2023</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7"/>
                <w:szCs w:val="17"/>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
        </w:trPr>
        <w:tc>
          <w:tcPr>
            <w:tcW w:w="2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Technology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5,321</w:t>
            </w:r>
          </w:p>
        </w:tc>
        <w:tc>
          <w:tcPr>
            <w:tcW w:w="0" w:type="dxa"/>
            <w:vAlign w:val="bottom"/>
          </w:tcPr>
          <w:p>
            <w:pPr>
              <w:spacing w:after="0"/>
              <w:rPr>
                <w:sz w:val="1"/>
                <w:szCs w:val="1"/>
                <w:color w:val="auto"/>
              </w:rPr>
            </w:pPr>
          </w:p>
        </w:tc>
      </w:tr>
      <w:tr>
        <w:trPr>
          <w:trHeight w:val="191"/>
        </w:trPr>
        <w:tc>
          <w:tcPr>
            <w:tcW w:w="2520" w:type="dxa"/>
            <w:vAlign w:val="bottom"/>
          </w:tcPr>
          <w:p>
            <w:pPr>
              <w:ind w:left="20"/>
              <w:spacing w:after="0"/>
              <w:rPr>
                <w:sz w:val="20"/>
                <w:szCs w:val="20"/>
                <w:color w:val="auto"/>
              </w:rPr>
            </w:pPr>
            <w:r>
              <w:rPr>
                <w:rFonts w:ascii="Arial" w:cs="Arial" w:eastAsia="Arial" w:hAnsi="Arial"/>
                <w:sz w:val="14"/>
                <w:szCs w:val="14"/>
                <w:color w:val="auto"/>
              </w:rPr>
              <w:t>Trademarks and Trade Names</w:t>
            </w: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100,394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102,244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Trademarks and Trade Names</w:t>
            </w: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11,333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12,396</w:t>
            </w:r>
          </w:p>
        </w:tc>
        <w:tc>
          <w:tcPr>
            <w:tcW w:w="0" w:type="dxa"/>
            <w:vAlign w:val="bottom"/>
          </w:tcPr>
          <w:p>
            <w:pPr>
              <w:spacing w:after="0"/>
              <w:rPr>
                <w:sz w:val="1"/>
                <w:szCs w:val="1"/>
                <w:color w:val="auto"/>
              </w:rPr>
            </w:pPr>
          </w:p>
        </w:tc>
      </w:tr>
      <w:tr>
        <w:trPr>
          <w:trHeight w:val="39"/>
        </w:trPr>
        <w:tc>
          <w:tcPr>
            <w:tcW w:w="25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117,532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121,329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intangible assets, the Company amortized $3.8 million and $3.8 million for the three months ended March 31, 2023 and 2022, respectively, included in Depreciation and amortization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660"/>
              <w:spacing w:after="0"/>
              <w:rPr>
                <w:sz w:val="20"/>
                <w:szCs w:val="20"/>
                <w:color w:val="auto"/>
              </w:rPr>
            </w:pPr>
            <w:r>
              <w:rPr>
                <w:rFonts w:ascii="Arial" w:cs="Arial" w:eastAsia="Arial" w:hAnsi="Arial"/>
                <w:sz w:val="18"/>
                <w:szCs w:val="18"/>
                <w:color w:val="auto"/>
              </w:rPr>
              <w:t>Estimated future amortization expense as of March 31, 2023 is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11,388</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13,438</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7,400</w:t>
            </w:r>
          </w:p>
        </w:tc>
      </w:tr>
      <w:tr>
        <w:trPr>
          <w:trHeight w:val="27"/>
        </w:trPr>
        <w:tc>
          <w:tcPr>
            <w:tcW w:w="9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65,242</w:t>
            </w:r>
          </w:p>
        </w:tc>
      </w:tr>
      <w:tr>
        <w:trPr>
          <w:trHeight w:val="27"/>
        </w:trPr>
        <w:tc>
          <w:tcPr>
            <w:tcW w:w="9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30, 2020, the Company entered into a three-year, $50.0 million, revolving loan and standby letter of credit facility agreement (i.e., the Revolving Credit Facility). The Revolving Credit Facility provides for the issuance of up to $15.5 million of standby letters of credit and aggregate borrowings under the Revolving Credit Facility are generally</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The Company incurred $0.2 million of debt issuance fees associated with the December 15, 2022 amendment. On May 10, 2023, the parties to the Revolving Credit Facility entered into a joinder agreement adding one of the Company’s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Revolving Credit Facility includes covenants that, among other things, require the Company to maintain at least $25.0 million of unrestricted cash at all times and limit, under prescribed circumstances, the ability of the Company to incur additional indebtedness, pay dividends, hold unpermitted investments, or make material changes to the business. The Company was in compliance with the financial covenants under such facility as of March 31, 2023.</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Borrowings under the Revolving Credit Facility bear interest at the SOFR rate, subject to a floor rate of 0.75%, plus a margin of 3.75% to 4.25%, depending on the level of the Company’s utilization of the facility (8.49% at March 31, 2023), and subject to a monthly minimum utilization of $15.0 million. The facility also includes an unused commitment fee of 0.375%.</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had outstanding borrowings of $32.2 million and $33.5 million at March 31, 2023 and December 31, 2022, respectively. The Company had outstanding letters of credit of $15.5 million under the Revolving Credit Facility at March 31, 2023 and December 31, 2022, and the total unused borrowing capacity was $2.3 million and $1.0 million as of March 31, 2023 and December 31, 2022, respectively.</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and December 31, 2022, the Company had $0.3 million and $0.4 million, respectively, of costs in connection with the issuance of debt included in Prepaid and other assets in the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2021, in connection with the entry into the merger agreement pursuant to which Business Combination was consummated, the Company entered into subscription agreements with certain investors to sell $150.0 million aggregate principal amount of unsecured convertible notes due 2026 (i.e., the Notes). In connection with closing of the the Business Combination, the Company issued, and those investors purchased, the Notes. The Notes bear interest at a rate of 8.50% per annum, payable semi-annually, are convertible into approximately 12,000,000 shares of our Class A common stock (or, at the Company’s election, a combination of cash and our Class A common stock), at an initial conversion price of $12.50, and mature on December 3, 2026.</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(i.e., between December 3, 2022 and December 3, 2024), the Company will be obligated to pay an amount equal to: (i) from the one year anniversary of the issuance of the Notes to the two year anniversary of the issuance of the Notes, an amount in cash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holder of a Note will have the right to cause the Company to repurchase for cash all or a portion of the Notes held by such holder (i) at any time after the third anniversary of the date on which the Business Combination was consummated, at a price equal to par plus accrued and unpaid interest; or (ii) at any time upon the occurrence of a fundamental change (as defined in the indenture governing the Notes), at a price equal to 101% of par plus accrued and unpaid interest.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on the Notes is recognized at an effective interest rate of 15% and totaled $4.5 million and $4.3 million for the three months ended March 31, 2023 and 2022, respectively, of which amortization of the debt discount and issuance costs comprised $1.4 million and $1.2 million for the three months ended March 31, 2023 and 2022,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Notes as of March 31, 2023 and December 31, 2022 was: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December 31, 2022</w:t>
            </w:r>
          </w:p>
        </w:tc>
      </w:tr>
      <w:tr>
        <w:trPr>
          <w:trHeight w:val="39"/>
        </w:trPr>
        <w:tc>
          <w:tcPr>
            <w:tcW w:w="8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outstanding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8"/>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8"/>
              </w:rPr>
              <w:t>150,000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Pr>
          <w:p>
            <w:pPr>
              <w:spacing w:after="0"/>
              <w:rPr>
                <w:sz w:val="21"/>
                <w:szCs w:val="21"/>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w w:val="92"/>
              </w:rPr>
              <w:t>(29,907)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w w:val="92"/>
              </w:rPr>
              <w:t>(31,252)</w:t>
            </w: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120,093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5"/>
              </w:rPr>
              <w:t>118,748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Notes was approximately $98.1 million and $99.8 million as of March 31, 2023 and December 31, 2022, respectively. The fair value of the Notes was estimated using Level 3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redeemable noncontrolling interest represented BuzzFeed Japan, which was held by Yahoo Japan. 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Stockholders’ equity permanent equity on the Company’s condensed consolidated balance sheet, with no adjustment to the prior periods presented.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reconciliation of changes in redeemable noncontrolling interest: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Allocation of net income</w:t>
            </w:r>
          </w:p>
        </w:tc>
        <w:tc>
          <w:tcPr>
            <w:tcW w:w="106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9340" w:firstLine="8"/>
        <w:spacing w:after="0" w:line="532" w:lineRule="auto"/>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is entitled to one vote and each share of Class B common stock is entitled to fifty votes. Class C common stock is non-voting.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March 31, 2023 or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stock option activity under the Company’s equity incentive plans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22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49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Exercise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5"/>
                <w:szCs w:val="15"/>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Intrinsic</w:t>
            </w:r>
          </w:p>
        </w:tc>
      </w:tr>
      <w:tr>
        <w:trPr>
          <w:trHeight w:val="186"/>
        </w:trPr>
        <w:tc>
          <w:tcPr>
            <w:tcW w:w="49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96"/>
              </w:rPr>
              <w:t>Value</w:t>
            </w:r>
          </w:p>
        </w:tc>
      </w:tr>
      <w:tr>
        <w:trPr>
          <w:trHeight w:val="39"/>
        </w:trPr>
        <w:tc>
          <w:tcPr>
            <w:tcW w:w="49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Arial" w:cs="Arial" w:eastAsia="Arial" w:hAnsi="Arial"/>
                <w:sz w:val="18"/>
                <w:szCs w:val="18"/>
                <w:color w:val="auto"/>
                <w:w w:val="85"/>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9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600" w:type="dxa"/>
            <w:vAlign w:val="bottom"/>
            <w:gridSpan w:val="2"/>
          </w:tcPr>
          <w:p>
            <w:pPr>
              <w:jc w:val="center"/>
              <w:ind w:left="97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Balance as of March 31, 2023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Arial" w:cs="Arial" w:eastAsia="Arial" w:hAnsi="Arial"/>
                <w:sz w:val="18"/>
                <w:szCs w:val="18"/>
                <w:color w:val="auto"/>
                <w:w w:val="85"/>
              </w:rPr>
              <w:t>3.53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to vest at March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Arial" w:cs="Arial" w:eastAsia="Arial" w:hAnsi="Arial"/>
                <w:sz w:val="18"/>
                <w:szCs w:val="18"/>
                <w:color w:val="auto"/>
                <w:w w:val="85"/>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Exercisable at March 31, 2023</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Arial" w:cs="Arial" w:eastAsia="Arial" w:hAnsi="Arial"/>
                <w:sz w:val="18"/>
                <w:szCs w:val="18"/>
                <w:color w:val="auto"/>
                <w:w w:val="85"/>
              </w:rPr>
              <w:t>2.59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the total share-based compensation costs not yet recognized related to unvested stock options was $1.4 million, which is expected to be recognized over the weighted-average remaining requisite service period of 1.2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(“RSU”) activity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4"/>
              </w:rPr>
              <w:t>Shares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there were approximately $12.2 million of unrecognized compensation costs related to RSUs.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cost included in the condensed consolidated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2,598</w:t>
            </w:r>
          </w:p>
        </w:tc>
      </w:tr>
      <w:tr>
        <w:trPr>
          <w:trHeight w:val="27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The negative stock-based compensation expense for the three months ended March 31, 2023 for Research and development was due to forfeitures.</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Warrants and the Private Warrants), the conversion of any convertible debt (including the Notes), and the conversion of any convertible preferred stock, in each case only in the periods in which such effect would have been dilutive.</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March 31, 2023, net loss per share amounts were the same for Class A and Class B common stock because the holders of each class are entitled to equal per share dividends. For the three months ended March 31, 2022, net loss per share amounts were the same for Class A, Class B, and Class C common stock because the holders of each class are entitled to equal per share dividends.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computation of basic and diluted net loss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the redeemable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attributable to holders of Class A, Class B, and Class C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(44,894)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 basic and diluted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136,425</w:t>
            </w:r>
          </w:p>
        </w:tc>
        <w:tc>
          <w:tcPr>
            <w:tcW w:w="0" w:type="dxa"/>
            <w:vAlign w:val="bottom"/>
          </w:tcPr>
          <w:p>
            <w:pPr>
              <w:spacing w:after="0"/>
              <w:rPr>
                <w:sz w:val="1"/>
                <w:szCs w:val="1"/>
                <w:color w:val="auto"/>
              </w:rPr>
            </w:pPr>
          </w:p>
        </w:tc>
      </w:tr>
      <w:tr>
        <w:trPr>
          <w:trHeight w:val="264"/>
        </w:trPr>
        <w:tc>
          <w:tcPr>
            <w:tcW w:w="8180" w:type="dxa"/>
            <w:vAlign w:val="bottom"/>
          </w:tcPr>
          <w:p>
            <w:pPr>
              <w:ind w:left="100"/>
              <w:spacing w:after="0"/>
              <w:rPr>
                <w:sz w:val="20"/>
                <w:szCs w:val="20"/>
                <w:color w:val="auto"/>
              </w:rPr>
            </w:pPr>
            <w:r>
              <w:rPr>
                <w:rFonts w:ascii="Arial" w:cs="Arial" w:eastAsia="Arial" w:hAnsi="Arial"/>
                <w:sz w:val="18"/>
                <w:szCs w:val="18"/>
                <w:color w:val="auto"/>
              </w:rPr>
              <w:t>Net loss per common share, basic and diluted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554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presents the details of securities that were excluded from the calculation of diluted net income (loss) per share as the effect would have been anti-dilutive:</w:t>
      </w:r>
    </w:p>
    <w:p>
      <w:pPr>
        <w:spacing w:after="0" w:line="21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40640</wp:posOffset>
            </wp:positionV>
            <wp:extent cx="1945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gridSpan w:val="2"/>
          </w:tcPr>
          <w:p>
            <w:pPr>
              <w:ind w:left="8780"/>
              <w:spacing w:after="0"/>
              <w:rPr>
                <w:sz w:val="20"/>
                <w:szCs w:val="20"/>
                <w:color w:val="auto"/>
              </w:rPr>
            </w:pPr>
            <w:r>
              <w:rPr>
                <w:rFonts w:ascii="Arial" w:cs="Arial" w:eastAsia="Arial" w:hAnsi="Arial"/>
                <w:sz w:val="14"/>
                <w:szCs w:val="14"/>
                <w:b w:val="1"/>
                <w:bCs w:val="1"/>
                <w:color w:val="auto"/>
                <w:w w:val="96"/>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spacing w:after="0"/>
              <w:rPr>
                <w:sz w:val="20"/>
                <w:szCs w:val="20"/>
                <w:color w:val="auto"/>
              </w:rPr>
            </w:pPr>
            <w:r>
              <w:rPr>
                <w:rFonts w:ascii="Arial" w:cs="Arial" w:eastAsia="Arial" w:hAnsi="Arial"/>
                <w:sz w:val="18"/>
                <w:szCs w:val="18"/>
                <w:color w:val="auto"/>
              </w:rPr>
              <w:t>6,604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7,019</w:t>
            </w: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9,876</w:t>
            </w: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12,000</w:t>
            </w: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Additionally, the calculation of diluted loss per share excluded 2.5 million RSUs for the three months ended March 31, 2022, for which the related liquidity condition had not been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720" w:type="dxa"/>
            <w:vAlign w:val="bottom"/>
            <w:gridSpan w:val="4"/>
          </w:tcPr>
          <w:p>
            <w:pPr>
              <w:ind w:left="660"/>
              <w:spacing w:after="0"/>
              <w:rPr>
                <w:sz w:val="20"/>
                <w:szCs w:val="20"/>
                <w:color w:val="auto"/>
              </w:rPr>
            </w:pPr>
            <w:r>
              <w:rPr>
                <w:rFonts w:ascii="Arial" w:cs="Arial" w:eastAsia="Arial" w:hAnsi="Arial"/>
                <w:sz w:val="14"/>
                <w:szCs w:val="14"/>
                <w:b w:val="1"/>
                <w:bCs w:val="1"/>
                <w:color w:val="auto"/>
                <w:w w:val="98"/>
              </w:rPr>
              <w:t>Three Months Ended March 31,</w:t>
            </w:r>
          </w:p>
        </w:tc>
        <w:tc>
          <w:tcPr>
            <w:tcW w:w="58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4"/>
        </w:trPr>
        <w:tc>
          <w:tcPr>
            <w:tcW w:w="7940" w:type="dxa"/>
            <w:vAlign w:val="bottom"/>
          </w:tcPr>
          <w:p>
            <w:pPr>
              <w:spacing w:after="0"/>
              <w:rPr>
                <w:sz w:val="16"/>
                <w:szCs w:val="16"/>
                <w:color w:val="auto"/>
              </w:rPr>
            </w:pPr>
          </w:p>
        </w:tc>
        <w:tc>
          <w:tcPr>
            <w:tcW w:w="1000" w:type="dxa"/>
            <w:vAlign w:val="bottom"/>
          </w:tcPr>
          <w:p>
            <w:pPr>
              <w:ind w:left="66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r>
      <w:tr>
        <w:trPr>
          <w:trHeight w:val="39"/>
        </w:trPr>
        <w:tc>
          <w:tcPr>
            <w:tcW w:w="79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2023 and 2022,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leases office space under non-cancelable operating leases with various expiration dates through 2029. The Company accounts for leases under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subleases certain leased office space to third parties when it determines there is excess leased capacity. On July 8, 2022, the Company entered into a sublease with Monday.com with respect to substantially all of the Company's existing corporate headquarters. The sublease commenced on August 26, 2022 and expires on May 30, 2026, unless terminated sooner in accordance with the provisions of the sublease. Pursuant to the terms of the sublease, Monday.com will pay a fixed monthly rent of $0.8 million, subject to periodic increases. In-lieu of a cash security deposit, the Company received a letter of credit from Citibank for approximately $4.5 million.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illustrates the lease costs for the three months ended March 31, 2023 and 2022:</w:t>
      </w:r>
    </w:p>
    <w:p>
      <w:pPr>
        <w:spacing w:after="0" w:line="27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March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7,447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center"/>
              <w:ind w:left="495"/>
              <w:spacing w:after="0"/>
              <w:rPr>
                <w:sz w:val="20"/>
                <w:szCs w:val="20"/>
                <w:color w:val="auto"/>
              </w:rPr>
            </w:pPr>
            <w:r>
              <w:rPr>
                <w:rFonts w:ascii="Arial" w:cs="Arial" w:eastAsia="Arial" w:hAnsi="Arial"/>
                <w:sz w:val="18"/>
                <w:szCs w:val="18"/>
                <w:color w:val="auto"/>
                <w:w w:val="88"/>
              </w:rPr>
              <w:t>7,727</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(3,958)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475"/>
              <w:spacing w:after="0"/>
              <w:rPr>
                <w:sz w:val="20"/>
                <w:szCs w:val="20"/>
                <w:color w:val="auto"/>
              </w:rPr>
            </w:pPr>
            <w:r>
              <w:rPr>
                <w:rFonts w:ascii="Arial" w:cs="Arial" w:eastAsia="Arial" w:hAnsi="Arial"/>
                <w:sz w:val="18"/>
                <w:szCs w:val="18"/>
                <w:color w:val="auto"/>
                <w:w w:val="94"/>
              </w:rPr>
              <w:t>(1,829)</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3,489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495"/>
              <w:spacing w:after="0"/>
              <w:rPr>
                <w:sz w:val="20"/>
                <w:szCs w:val="20"/>
                <w:color w:val="auto"/>
              </w:rPr>
            </w:pPr>
            <w:r>
              <w:rPr>
                <w:rFonts w:ascii="Arial" w:cs="Arial" w:eastAsia="Arial" w:hAnsi="Arial"/>
                <w:sz w:val="18"/>
                <w:szCs w:val="18"/>
                <w:color w:val="auto"/>
                <w:w w:val="88"/>
              </w:rPr>
              <w:t>5,898</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were recorded in the Company’s condensed consolidated balance sheet related to operating leases: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March 31, 2023</w:t>
            </w: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1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61,615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66,581</w:t>
            </w:r>
          </w:p>
        </w:tc>
        <w:tc>
          <w:tcPr>
            <w:tcW w:w="0" w:type="dxa"/>
            <w:vAlign w:val="bottom"/>
          </w:tcPr>
          <w:p>
            <w:pPr>
              <w:spacing w:after="0"/>
              <w:rPr>
                <w:sz w:val="1"/>
                <w:szCs w:val="1"/>
                <w:color w:val="auto"/>
              </w:rPr>
            </w:pPr>
          </w:p>
        </w:tc>
      </w:tr>
      <w:tr>
        <w:trPr>
          <w:trHeight w:val="257"/>
        </w:trPr>
        <w:tc>
          <w:tcPr>
            <w:tcW w:w="52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2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22,667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23,398</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27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54,269</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59,315</w:t>
            </w: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1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76,936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Other information related to leases was as follows:</w:t>
            </w:r>
          </w:p>
        </w:tc>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0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2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March 31, 2023</w:t>
            </w: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39"/>
        </w:trPr>
        <w:tc>
          <w:tcPr>
            <w:tcW w:w="5200" w:type="dxa"/>
            <w:vAlign w:val="bottom"/>
            <w:tcBorders>
              <w:bottom w:val="single" w:sz="8" w:color="CCEEFF"/>
            </w:tcBorders>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w w:val="96"/>
              </w:rPr>
              <w:t>Cash paid for amounts included in measurement of lease liabilities:</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cash flows for operating lease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528"/>
        </w:trPr>
        <w:tc>
          <w:tcPr>
            <w:tcW w:w="52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March 31, 2023</w:t>
            </w:r>
          </w:p>
        </w:tc>
        <w:tc>
          <w:tcPr>
            <w:tcW w:w="148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39"/>
        </w:trPr>
        <w:tc>
          <w:tcPr>
            <w:tcW w:w="5200" w:type="dxa"/>
            <w:vAlign w:val="bottom"/>
            <w:tcBorders>
              <w:bottom w:val="single" w:sz="8" w:color="CCEEFF"/>
            </w:tcBorders>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13.76 %</w:t>
            </w:r>
          </w:p>
        </w:tc>
        <w:tc>
          <w:tcPr>
            <w:tcW w:w="0" w:type="dxa"/>
            <w:vAlign w:val="bottom"/>
          </w:tcPr>
          <w:p>
            <w:pPr>
              <w:spacing w:after="0"/>
              <w:rPr>
                <w:sz w:val="1"/>
                <w:szCs w:val="1"/>
                <w:color w:val="auto"/>
              </w:rPr>
            </w:pPr>
          </w:p>
        </w:tc>
      </w:tr>
      <w:tr>
        <w:trPr>
          <w:trHeight w:val="918"/>
        </w:trPr>
        <w:tc>
          <w:tcPr>
            <w:tcW w:w="5200" w:type="dxa"/>
            <w:vAlign w:val="bottom"/>
          </w:tcPr>
          <w:p>
            <w:pPr>
              <w:spacing w:after="0"/>
              <w:rPr>
                <w:sz w:val="24"/>
                <w:szCs w:val="24"/>
                <w:color w:val="auto"/>
              </w:rPr>
            </w:pPr>
          </w:p>
        </w:tc>
        <w:tc>
          <w:tcPr>
            <w:tcW w:w="2740" w:type="dxa"/>
            <w:vAlign w:val="bottom"/>
          </w:tcPr>
          <w:p>
            <w:pPr>
              <w:jc w:val="right"/>
              <w:ind w:right="213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as of March 31, 2023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Operating Leases</w:t>
            </w:r>
          </w:p>
        </w:tc>
        <w:tc>
          <w:tcPr>
            <w:tcW w:w="0" w:type="dxa"/>
            <w:vAlign w:val="bottom"/>
          </w:tcPr>
          <w:p>
            <w:pPr>
              <w:spacing w:after="0"/>
              <w:rPr>
                <w:sz w:val="1"/>
                <w:szCs w:val="1"/>
                <w:color w:val="auto"/>
              </w:rPr>
            </w:pPr>
          </w:p>
        </w:tc>
      </w:tr>
      <w:tr>
        <w:trPr>
          <w:trHeight w:val="39"/>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24,386</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25,616</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13,044</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95,303</w:t>
            </w:r>
          </w:p>
        </w:tc>
        <w:tc>
          <w:tcPr>
            <w:tcW w:w="0" w:type="dxa"/>
            <w:vAlign w:val="bottom"/>
          </w:tcPr>
          <w:p>
            <w:pPr>
              <w:spacing w:after="0"/>
              <w:rPr>
                <w:sz w:val="1"/>
                <w:szCs w:val="1"/>
                <w:color w:val="auto"/>
              </w:rPr>
            </w:pPr>
          </w:p>
        </w:tc>
      </w:tr>
      <w:tr>
        <w:trPr>
          <w:trHeight w:val="24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7"/>
        </w:trPr>
        <w:tc>
          <w:tcPr>
            <w:tcW w:w="9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76,936</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w w:val="98"/>
              </w:rPr>
              <w:t>Sublease receipts to be received in the future under noncancelable subleases as of March 31, 2023 were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24"/>
                <w:szCs w:val="24"/>
                <w:color w:val="auto"/>
              </w:rPr>
            </w:pP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9"/>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420" w:firstLine="8"/>
        <w:spacing w:after="0" w:line="503"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Guarantees</w:t>
      </w:r>
    </w:p>
    <w:p>
      <w:pPr>
        <w:jc w:val="both"/>
        <w:ind w:firstLine="648"/>
        <w:spacing w:after="0" w:line="279" w:lineRule="auto"/>
        <w:rPr>
          <w:sz w:val="20"/>
          <w:szCs w:val="20"/>
          <w:color w:val="auto"/>
        </w:rPr>
      </w:pPr>
      <w:r>
        <w:rPr>
          <w:rFonts w:ascii="Arial" w:cs="Arial" w:eastAsia="Arial" w:hAnsi="Arial"/>
          <w:sz w:val="17"/>
          <w:szCs w:val="17"/>
          <w:color w:val="auto"/>
        </w:rPr>
        <w:t>In September 2018, at the time of its equity investment in a private company, the Company agreed to guarantee the lease of such company’s premises in New York. In October 2020, the investee renewed its lease agreement, and the Company’s prior guarantee was replaced with a new guarantee of up to $5.4 million. The amount of the guarantee is reduced as the investee makes payments under the lease. As of March 31, 2023, the maximum amount of the guarantee was $0.7 million, and no liability was recognized with respect to the guarantee.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party to various lawsuits and claims in the ordinary course of business.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of the Securities Act. The Claimants sought to recover unspecified compensatory damages, an award of costs, and any further appropriate relief.</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settled or resolved certain legal matters during the three months ended March 31, 2023 and 2022 that did not individually or in the aggregate have a material impact on the Company’s business or its condensed consolidated balance sheets,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recognized revenue from NBCUniversal Media, LLC (“NBCU”) of $0.5 million and $0.5 million for the three months ended March 31, 2023 and 2022, respectively. The Company recognized expenses under contractual obligations from NBCU of $nil and $0.2 million for the three months ended March 31, 2023 and 2022, respectively. The Company had outstanding receivable balances of $1.0 million and $2.2 million from NBCU as of March 31, 2023 and December 31, 2022, respectively. The Company had an outstanding payable balance of $0.2 million to NBCU as of March 31, 2023 (none as of December 31, 2022).</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March 15, 2023, Verizon Ventures LLC (“Verizon”) converted all 6,478,031 shares of Class C common stock into Class A common stock, resulting in Verizon and its affiliates holding more than 5% of our Class A common stock. Verizon is the landlord for the Company’s corporate headquarters (assumed from the acquisition of Complex Networks), and we transact with Verizon in the normal course of business, such as with agency advertising deals and for certain utilities. The Company recognized revenue from Verizon of $0.1 million for the three months ended March 31, 2023 (none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The Company recognized expenses under contractual obligations from Verizon of $1.5 million for the three months ended March 31, 2023 and 2022. The Company had no outstanding receivables or payables from or to Verizon as of March 31, 2023 or December 31, 2022.</w:t>
      </w:r>
    </w:p>
    <w:p>
      <w:pPr>
        <w:spacing w:after="0" w:line="180" w:lineRule="exact"/>
        <w:rPr>
          <w:sz w:val="20"/>
          <w:szCs w:val="20"/>
          <w:color w:val="auto"/>
        </w:rPr>
      </w:pPr>
    </w:p>
    <w:p>
      <w:pPr>
        <w:ind w:right="9000" w:firstLine="8"/>
        <w:spacing w:after="0" w:line="503"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Film Costs</w:t>
      </w:r>
    </w:p>
    <w:p>
      <w:pPr>
        <w:jc w:val="both"/>
        <w:ind w:firstLine="648"/>
        <w:spacing w:after="0" w:line="277" w:lineRule="auto"/>
        <w:rPr>
          <w:sz w:val="20"/>
          <w:szCs w:val="20"/>
          <w:color w:val="auto"/>
        </w:rPr>
      </w:pPr>
      <w:r>
        <w:rPr>
          <w:rFonts w:ascii="Arial" w:cs="Arial" w:eastAsia="Arial" w:hAnsi="Arial"/>
          <w:sz w:val="18"/>
          <w:szCs w:val="18"/>
          <w:color w:val="auto"/>
        </w:rPr>
        <w:t>The Company had no material capitalized film costs as of March 31, 2023 or December 31, 2022 and had no material amortization of film costs for the three months ended March 31, 2023 or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Assistance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Production tax incentives reduced capitalized film costs by $1.5 million as of December 31, 2022 (none as of March 31, 2023). The Company had receivables related to our production tax credits of $3.0 million as of March 31, 2023 and December 31, 2022, included in Prepaid and other current assets in our condensed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Disclosures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income taxes, net</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8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property and equipment</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20, 2023, the Company announced plans to reduce expenses by implementing an approximately 15% reduction in the current workforce. The reduction in workforce plan is part of a broader strategic reprioritization across the Company in order to accelerate revenue growth and improve upon profitability and cash flow. The Company expects to incur between $7 million to $11 million of restructuring charges, comprised mainly of severance and related benefit costs. The restructuring actions associated with this charge are expected to be substantially complete and paid by June 30, 2023, with any remaining cash expenditures to be paid by the end of the third quarter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BuzzFeed is a premier digital media company for the most diverse, most online, and most socially connected generations the world has ever seen. Across food, news, pop culture and commerce, our brands drive conversation and inspire what audiences watch, read, and buy now — and into the future. With a portfolio of iconic, globally-loved brands that includes BuzzFeed, HuffPost, Tasty, Complex Networks, and First We Feast, we are the number one destination for Gen Z and Millennials amongst our competitive set, in terms of time spent, according to Comscore.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BuzzFeed curates the Internet, and acts as an “inspiration engine,” driving both online and real-world action and transactions. Our strong audience signal and powerful content flywheel enable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media platforms, including Facebook, YouTube, Instagram, TikTok, Snapchat, Twitter, and Apple News. In 2022, our audiences consumed more than 620</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million hours of content and drove over $500 million in attributable transactions.</w:t>
      </w:r>
    </w:p>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7" w:lineRule="exact"/>
        <w:rPr>
          <w:sz w:val="20"/>
          <w:szCs w:val="20"/>
          <w:color w:val="auto"/>
        </w:rPr>
      </w:pPr>
    </w:p>
    <w:p>
      <w:pPr>
        <w:ind w:left="340" w:hanging="332"/>
        <w:spacing w:after="0" w:line="275"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Facebook. Effective January 1, 2023, we exclude Facebook from our measure of Time Spent. Refer to the “Executive Overview” section below for additional details. Time spent on Facebook, as reported by Facebook, was approximately 184 million hours in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3, 2021, we consummated a business combination (the “Business Combination”) by and among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pursuant to subscription agreements entered into in connection with the entry into the merger agreement pursuant to which the Business Combination was consummated, we issued, and certain investors purchased, $150.0 million aggregate principal amount of unsecured convertible notes due 2026 in connection with with the closing of the Business Combination (the “Notes”). Refer to Note 9 to the condensed consolidated financial statements in Item 1 of this Form 10-Q for additional details.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viral strain of COVID-19 a global pandemic and recommended containment and mitigation measures worldwide. The spread of COVID-19 and the resulting economic contraction resulted in increased business uncertainty and significantly impacted our business and results of operations. While the extent of the impact has generally decreased, we continue to monitor the status, and respond to the effects of, the COVID-19 pandemic and its impact on our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Current Economic Conditions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Uncertainty surrounding macroeconomic factors in the United States (the “U.S.”) and globally characterized by inflationary pressure, rising interest rates, geopolitical issues or otherwise may result in a recession, which could have a material adverse effect on our business. Further, we believe advertising and content budgets have been, and may continue to be, affected by macroeconomic factors, such as market uncertainty and rising interest rates, which has led to reduced spending from advertising and content customers. These macroeconomic factors have adversely impacted our advertising and content revenue in the first quarter of 2023 and we expect these factors will continue to adversely affect our advertising and content revenue in fiscal year 2023. Please see Part I, Item 1A “Risk Factors” within our Annual Report on Form 10-K for the fiscal year ended December 31,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operational highlights for the periods presented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GAAP</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67,153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80"/>
              <w:spacing w:after="0"/>
              <w:rPr>
                <w:sz w:val="20"/>
                <w:szCs w:val="20"/>
                <w:color w:val="auto"/>
              </w:rPr>
            </w:pPr>
            <w:r>
              <w:rPr>
                <w:rFonts w:ascii="Arial" w:cs="Arial" w:eastAsia="Arial" w:hAnsi="Arial"/>
                <w:sz w:val="18"/>
                <w:szCs w:val="18"/>
                <w:color w:val="auto"/>
                <w:w w:val="98"/>
              </w:rPr>
              <w:t>91,558</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(35,298)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00"/>
              <w:spacing w:after="0"/>
              <w:rPr>
                <w:sz w:val="20"/>
                <w:szCs w:val="20"/>
                <w:color w:val="auto"/>
              </w:rPr>
            </w:pPr>
            <w:r>
              <w:rPr>
                <w:rFonts w:ascii="Arial" w:cs="Arial" w:eastAsia="Arial" w:hAnsi="Arial"/>
                <w:sz w:val="18"/>
                <w:szCs w:val="18"/>
                <w:color w:val="auto"/>
                <w:w w:val="92"/>
              </w:rPr>
              <w:t>(44,566)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(20,191)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500"/>
              <w:spacing w:after="0"/>
              <w:rPr>
                <w:sz w:val="20"/>
                <w:szCs w:val="20"/>
                <w:color w:val="auto"/>
              </w:rPr>
            </w:pPr>
            <w:r>
              <w:rPr>
                <w:rFonts w:ascii="Arial" w:cs="Arial" w:eastAsia="Arial" w:hAnsi="Arial"/>
                <w:sz w:val="18"/>
                <w:szCs w:val="18"/>
                <w:color w:val="auto"/>
                <w:w w:val="92"/>
              </w:rPr>
              <w:t>(16,764)</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Non-Financial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12"/>
        </w:trPr>
        <w:tc>
          <w:tcPr>
            <w:tcW w:w="8180" w:type="dxa"/>
            <w:vAlign w:val="bottom"/>
          </w:tcPr>
          <w:p>
            <w:pPr>
              <w:ind w:left="20"/>
              <w:spacing w:after="0"/>
              <w:rPr>
                <w:sz w:val="20"/>
                <w:szCs w:val="20"/>
                <w:color w:val="auto"/>
              </w:rPr>
            </w:pPr>
            <w:r>
              <w:rPr>
                <w:rFonts w:ascii="Arial" w:cs="Arial" w:eastAsia="Arial" w:hAnsi="Arial"/>
                <w:sz w:val="18"/>
                <w:szCs w:val="18"/>
                <w:color w:val="auto"/>
              </w:rPr>
              <w:t>Time Spent</w:t>
            </w:r>
            <w:r>
              <w:rPr>
                <w:rFonts w:ascii="Arial" w:cs="Arial" w:eastAsia="Arial" w:hAnsi="Arial"/>
                <w:sz w:val="23"/>
                <w:szCs w:val="23"/>
                <w:color w:val="auto"/>
                <w:vertAlign w:val="superscript"/>
              </w:rPr>
              <w:t>(2)</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109,164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w w:val="95"/>
              </w:rPr>
              <w:t>111,999</w:t>
            </w:r>
          </w:p>
        </w:tc>
      </w:tr>
      <w:tr>
        <w:trPr>
          <w:trHeight w:val="255"/>
        </w:trPr>
        <w:tc>
          <w:tcPr>
            <w:tcW w:w="818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340" w:hanging="332"/>
        <w:spacing w:after="0" w:line="260"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Reconciliation from Net loss to Adjusted EBITDA</w:t>
      </w:r>
      <w:r>
        <w:rPr>
          <w:rFonts w:ascii="Arial" w:cs="Arial" w:eastAsia="Arial" w:hAnsi="Arial"/>
          <w:sz w:val="18"/>
          <w:szCs w:val="18"/>
          <w:color w:val="auto"/>
        </w:rPr>
        <w:t>” for a reconciliation of Adjusted EBITDA to the most directly comparable financial measure in accordance with accounting principles generally accepted in the U.S (“GAAP”).</w:t>
      </w:r>
    </w:p>
    <w:p>
      <w:pPr>
        <w:spacing w:after="0" w:line="185" w:lineRule="exact"/>
        <w:rPr>
          <w:rFonts w:ascii="Arial" w:cs="Arial" w:eastAsia="Arial" w:hAnsi="Arial"/>
          <w:sz w:val="18"/>
          <w:szCs w:val="18"/>
          <w:color w:val="auto"/>
        </w:rPr>
      </w:pPr>
    </w:p>
    <w:p>
      <w:pPr>
        <w:jc w:val="both"/>
        <w:ind w:left="340" w:hanging="332"/>
        <w:spacing w:after="0" w:line="268" w:lineRule="auto"/>
        <w:tabs>
          <w:tab w:leader="none" w:pos="334"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define Time Spent as the estimated total number of hours spent by users on our owned and operated U.S. properties, our content on Apple News, and 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methodology and is not necessarily defined in the same manner, or comparable to, similarly titled measures presented by other companies. Time Spent for the three months ended March 31, 2023 decreased by 3%. Effective January 1, 2023, we exclude time spent on Facebook from our measure of Time Spent, as our monetization strategy is increasingly focused on advertising on our owned and operated properties, and Facebook now contributes an immaterial amount of advertising revenue. Time Spent on Facebook, as reported by Facebook, was approximately 22 million hours and approximately 72 million hours for the three months ended March 31, 2023 and 2022, respectively, which is not included in Time Spent presented in the table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Performance Metrics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use certain metrics to assess the operational and financial performance of our business. Effective January 1, 2023, we have introduced new metrics with respect to our branded content revenue, which represents the majority of our reported content revenue (branded content is further defined within “Components of Results of Operations” below). Specifically, we monitor the performance of our branded content advertisers through retention and average trailing twelve 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are calculated as if the acquisitions occurred on the first day of the applicable period.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operating metrics for our branded content revenue for the three months ended March 31, 2023 and 2022 (on a trailing twelve month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74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4"/>
        </w:trPr>
        <w:tc>
          <w:tcPr>
            <w:tcW w:w="794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r>
      <w:tr>
        <w:trPr>
          <w:trHeight w:val="39"/>
        </w:trPr>
        <w:tc>
          <w:tcPr>
            <w:tcW w:w="79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branded content advertiser revenue retention</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7940" w:type="dxa"/>
            <w:vAlign w:val="bottom"/>
          </w:tcPr>
          <w:p>
            <w:pPr>
              <w:ind w:left="20"/>
              <w:spacing w:after="0"/>
              <w:rPr>
                <w:sz w:val="20"/>
                <w:szCs w:val="20"/>
                <w:color w:val="auto"/>
              </w:rPr>
            </w:pPr>
            <w:r>
              <w:rPr>
                <w:rFonts w:ascii="Arial" w:cs="Arial" w:eastAsia="Arial" w:hAnsi="Arial"/>
                <w:sz w:val="18"/>
                <w:szCs w:val="18"/>
                <w:color w:val="auto"/>
              </w:rPr>
              <w:t>Branded content advertisers</w:t>
            </w:r>
            <w:r>
              <w:rPr>
                <w:rFonts w:ascii="Arial" w:cs="Arial" w:eastAsia="Arial" w:hAnsi="Arial"/>
                <w:sz w:val="23"/>
                <w:szCs w:val="23"/>
                <w:color w:val="auto"/>
                <w:vertAlign w:val="superscript"/>
              </w:rPr>
              <w:t>(2)</w:t>
            </w:r>
          </w:p>
        </w:tc>
        <w:tc>
          <w:tcPr>
            <w:tcW w:w="10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&gt; 90</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&gt; 115</w:t>
            </w:r>
          </w:p>
        </w:tc>
      </w:tr>
      <w:tr>
        <w:trPr>
          <w:trHeight w:val="27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average branded content advertiser revenue</w:t>
            </w:r>
            <w:r>
              <w:rPr>
                <w:rFonts w:ascii="Arial" w:cs="Arial" w:eastAsia="Arial" w:hAnsi="Arial"/>
                <w:sz w:val="23"/>
                <w:szCs w:val="23"/>
                <w:color w:val="auto"/>
                <w:vertAlign w:val="superscript"/>
              </w:rPr>
              <w:t>(3)</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jc w:val="both"/>
        <w:ind w:left="340" w:hanging="332"/>
        <w:spacing w:after="0" w:line="270" w:lineRule="auto"/>
        <w:tabs>
          <w:tab w:leader="none" w:pos="334"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branded content advertiser revenue retention is calculated by dividing the branded content revenue for the trailing twelve month from the close of the current reporting period, from advertisers who were also advertisers at the close of the same period in the prior year (the “base period”), by the branded content revenue for the trailing twelve month from the close of the base period. This analysis only considers branded content advertisers who spent greater than $250,000 in the trailing twelve months from the close of the base period, and is pro forma for acquisitions. This metric also excludes revenues derived from joint ventures and from deals not included in the branded content definition below. In both periods presented, this represents the significant majority of branded content advertiser revenue. .</w:t>
      </w:r>
    </w:p>
    <w:p>
      <w:pPr>
        <w:spacing w:after="0" w:line="178" w:lineRule="exact"/>
        <w:rPr>
          <w:rFonts w:ascii="Arial" w:cs="Arial" w:eastAsia="Arial" w:hAnsi="Arial"/>
          <w:sz w:val="17"/>
          <w:szCs w:val="17"/>
          <w:color w:val="auto"/>
        </w:rPr>
      </w:pPr>
    </w:p>
    <w:p>
      <w:pPr>
        <w:jc w:val="both"/>
        <w:ind w:left="340" w:hanging="332"/>
        <w:spacing w:after="0" w:line="263"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actual number of branded content advertisers, excluding branded content advertisers that spent less than $250,000 during the trailing twelve months at the close of the current reporting period, and is pro forma for acquisitions. This does not mean an included advertiser spent $250,000 in any given quarter.</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net branded content revenue (dollars in millions) generated by branded content customers (as defined in footnote (2) above) during the trailing twelve months at the close of the current reporting period divided by the number of branded content advertisers during that period, and is pro forma for acquisitions. This does not mean an included advertiser spent $250,000 in any given quarter.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The majority of our revenue is generated through the following types of arrangements:</w:t>
      </w:r>
    </w:p>
    <w:p>
      <w:pPr>
        <w:spacing w:after="0" w:line="225" w:lineRule="exact"/>
        <w:rPr>
          <w:sz w:val="20"/>
          <w:szCs w:val="20"/>
          <w:color w:val="auto"/>
        </w:rPr>
      </w:pPr>
    </w:p>
    <w:p>
      <w:pPr>
        <w:jc w:val="both"/>
        <w:ind w:left="660" w:hanging="328"/>
        <w:spacing w:after="0" w:line="270"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Consists of display, programmatic, and video advertising on our owned and operated sites and applications and social media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0"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Includes revenue generated from creating content, including promotional content, and customer advertising (herein referred to as</w:t>
      </w:r>
      <w:r>
        <w:rPr>
          <w:rFonts w:ascii="Arial" w:cs="Arial" w:eastAsia="Arial" w:hAnsi="Arial"/>
          <w:sz w:val="18"/>
          <w:szCs w:val="18"/>
          <w:i w:val="1"/>
          <w:iCs w:val="1"/>
          <w:color w:val="auto"/>
        </w:rPr>
        <w:t xml:space="preserve"> </w:t>
      </w:r>
      <w:r>
        <w:rPr>
          <w:rFonts w:ascii="Arial" w:cs="Arial" w:eastAsia="Arial" w:hAnsi="Arial"/>
          <w:sz w:val="18"/>
          <w:szCs w:val="18"/>
          <w:color w:val="auto"/>
        </w:rPr>
        <w:t>“branded content”). Additionally, includes revenue from feature films and content licensing. Content revenue is recognized when the content, or the related action (click or view), is delivered.</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Commerce and other: </w:t>
      </w:r>
      <w:r>
        <w:rPr>
          <w:rFonts w:ascii="Arial" w:cs="Arial" w:eastAsia="Arial" w:hAnsi="Arial"/>
          <w:sz w:val="18"/>
          <w:szCs w:val="18"/>
          <w:color w:val="auto"/>
        </w:rPr>
        <w:t>Includes affiliate marketplace revenue and licensing of intellectual property. We participate in multiple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Consists primarily of compensation-related expenses and costs incurred for the creation of editorial, promotional, and news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across all platforms, as well as amounts due to third-party websites and platforms to fulfill customers’ advertising campaigns. Web hosting and advertising serving platform costs are also included in cost of revenue.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Consists primarily of compensation-related expenses for sales employees. In addition, sales and marketing expenses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and market research.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color w:val="auto"/>
        </w:rPr>
        <w:t>: Consists of compensation-related expenses for corporate employees. Also, it consists of expenses for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fees, insurance costs, and other general overhead costs.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Consists primarily of compensation-related expenses incurred for the development of, enhancements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of our website, technology platforms, data collection and infrastructure. Research and development expenses that do not meet the criteria for capitalization are expensed as incurred.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Represents depreciation of property and equipment and amortization of intangible assets and capitalized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Other income,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foreign exchange gains and losses, gains and losses on investments, gains and losses on dispositions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gains and losses on disposition of assets, and other miscellaneous income and expenses.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Consists of interest expense incurred on our borrowings, net of interest income on interest bearing checking accounts.</w:t>
      </w:r>
    </w:p>
    <w:p>
      <w:pPr>
        <w:spacing w:after="0" w:line="24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Change in fair value of warrant liabilities: </w:t>
      </w:r>
      <w:r>
        <w:rPr>
          <w:rFonts w:ascii="Arial" w:cs="Arial" w:eastAsia="Arial" w:hAnsi="Arial"/>
          <w:sz w:val="16"/>
          <w:szCs w:val="16"/>
          <w:color w:val="auto"/>
        </w:rPr>
        <w:t>Reflects the changes in warrant liabilities which is primarily based on the market price of our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listed on Nasdaq under the symbol “BZFDW.” Refer to Note 5 to the condensed consolidated financial statements for additional details.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derivative liability: </w:t>
      </w:r>
      <w:r>
        <w:rPr>
          <w:rFonts w:ascii="Arial" w:cs="Arial" w:eastAsia="Arial" w:hAnsi="Arial"/>
          <w:sz w:val="18"/>
          <w:szCs w:val="18"/>
          <w:color w:val="auto"/>
        </w:rPr>
        <w:t>In December 2021, we issued $150.0 million aggregate principal amount of unsecured convertible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due 2026 (i.e., the Notes)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Income tax provision: </w:t>
      </w:r>
      <w:r>
        <w:rPr>
          <w:rFonts w:ascii="Arial" w:cs="Arial" w:eastAsia="Arial" w:hAnsi="Arial"/>
          <w:sz w:val="17"/>
          <w:szCs w:val="17"/>
          <w:color w:val="auto"/>
        </w:rPr>
        <w:t>Represents federal, state, and local taxes based on income in multiple domestic and international jurisdictions.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31, 2023 and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condensed consolidated statement of operations data for each of the periods presented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excluding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17,803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32,562</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7,192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8,481</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126,856</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(44,216)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(44,566)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the redeemable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BuzzFeed,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(44,894)</w:t>
            </w:r>
          </w:p>
        </w:tc>
      </w:tr>
      <w:tr>
        <w:trPr>
          <w:trHeight w:val="20"/>
        </w:trPr>
        <w:tc>
          <w:tcPr>
            <w:tcW w:w="8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Costs and expenses included in stock-based compensation expense are included in the condensed consolidated statements of operations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2,598</w:t>
            </w:r>
          </w:p>
        </w:tc>
      </w:tr>
      <w:tr>
        <w:trPr>
          <w:trHeight w:val="27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3,940</w:t>
            </w:r>
          </w:p>
        </w:tc>
      </w:tr>
      <w:tr>
        <w:trPr>
          <w:trHeight w:val="20"/>
        </w:trPr>
        <w:tc>
          <w:tcPr>
            <w:tcW w:w="8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The negative stock-based compensation expense for the three months ended March 31, 2023 for Research and development was due to forfeitures.</w:t>
      </w:r>
    </w:p>
    <w:p>
      <w:pPr>
        <w:spacing w:after="0" w:line="234" w:lineRule="exact"/>
        <w:rPr>
          <w:sz w:val="20"/>
          <w:szCs w:val="20"/>
          <w:color w:val="auto"/>
        </w:rPr>
      </w:pPr>
    </w:p>
    <w:p>
      <w:pPr>
        <w:ind w:right="600" w:firstLine="648"/>
        <w:spacing w:after="0" w:line="279"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presented as a percentage of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6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64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excluding 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the redeemable noncontrolling interest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Net (loss) income attributable to noncontrolling interests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BuzzFeed, Inc.</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6"/>
        </w:trPr>
        <w:tc>
          <w:tcPr>
            <w:tcW w:w="648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w w:val="90"/>
              </w:rPr>
              <w:t>(1) Percentages have been rounded for presentation purposes and may differ from unrounded results.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tcPr>
          <w:p>
            <w:pPr>
              <w:ind w:left="660"/>
              <w:spacing w:after="0"/>
              <w:rPr>
                <w:sz w:val="20"/>
                <w:szCs w:val="20"/>
                <w:color w:val="auto"/>
              </w:rPr>
            </w:pPr>
            <w:r>
              <w:rPr>
                <w:rFonts w:ascii="Arial" w:cs="Arial" w:eastAsia="Arial" w:hAnsi="Arial"/>
                <w:sz w:val="18"/>
                <w:szCs w:val="18"/>
                <w:color w:val="auto"/>
              </w:rPr>
              <w:t>Total revenue was as follows (in thousands):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480" w:type="dxa"/>
            <w:vAlign w:val="bottom"/>
          </w:tcPr>
          <w:p>
            <w:pPr>
              <w:spacing w:after="0"/>
              <w:rPr>
                <w:sz w:val="24"/>
                <w:szCs w:val="24"/>
                <w:color w:val="auto"/>
              </w:rPr>
            </w:pPr>
          </w:p>
        </w:tc>
        <w:tc>
          <w:tcPr>
            <w:tcW w:w="3160" w:type="dxa"/>
            <w:vAlign w:val="bottom"/>
            <w:gridSpan w:val="9"/>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4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4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34,248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Content</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21,618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Commerce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11,287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64"/>
        </w:trPr>
        <w:tc>
          <w:tcPr>
            <w:tcW w:w="6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67,153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Advertising revenue decreased by $14.4 million, or 30%, for the three months ended March 31, 2023 driven by an $8.3 million decline in advertising revenues derived from products that are not monetized on a per-impression basis. The remaining decline was driven by a $6.1 million, or 18%, decline in advertising revenue from products monetized on a per-impression basis, which reflects a 14% decline in overall pricing and a 4% decline in the number of programmatic impressions delivered.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Content revenue decreased by $10.7 million, or 33%, for the three months ended March 31, 2023 driven by a decrease in consumer spending in certain client verticals, particularly those in the technology and telecommunications and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retail industries due to the broader macroeconomic environment. Additionally,a decrease in the number of branded content advertisers contributed to the year-over-year decline.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Commerce and other remained relatively consistent, with a $0.7 million, or 6%, increase year-over-year.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36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1940" w:type="dxa"/>
            <w:vAlign w:val="bottom"/>
          </w:tcPr>
          <w:p>
            <w:pPr>
              <w:ind w:left="640"/>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9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rPr>
              <w:t>47,344</w:t>
            </w:r>
          </w:p>
        </w:tc>
        <w:tc>
          <w:tcPr>
            <w:tcW w:w="1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60,818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As a percentage of revenue</w:t>
            </w:r>
          </w:p>
        </w:tc>
        <w:tc>
          <w:tcPr>
            <w:tcW w:w="1940" w:type="dxa"/>
            <w:vAlign w:val="bottom"/>
          </w:tcPr>
          <w:p>
            <w:pPr>
              <w:jc w:val="right"/>
              <w:ind w:right="299"/>
              <w:spacing w:after="0"/>
              <w:rPr>
                <w:sz w:val="20"/>
                <w:szCs w:val="20"/>
                <w:color w:val="auto"/>
              </w:rPr>
            </w:pPr>
            <w:r>
              <w:rPr>
                <w:rFonts w:ascii="Arial" w:cs="Arial" w:eastAsia="Arial" w:hAnsi="Arial"/>
                <w:sz w:val="18"/>
                <w:szCs w:val="18"/>
                <w:color w:val="auto"/>
              </w:rPr>
              <w:t>71 %</w:t>
            </w:r>
          </w:p>
        </w:tc>
        <w:tc>
          <w:tcPr>
            <w:tcW w:w="1340" w:type="dxa"/>
            <w:vAlign w:val="bottom"/>
          </w:tcPr>
          <w:p>
            <w:pPr>
              <w:jc w:val="right"/>
              <w:spacing w:after="0"/>
              <w:rPr>
                <w:sz w:val="20"/>
                <w:szCs w:val="20"/>
                <w:color w:val="auto"/>
              </w:rPr>
            </w:pPr>
            <w:r>
              <w:rPr>
                <w:rFonts w:ascii="Arial" w:cs="Arial" w:eastAsia="Arial" w:hAnsi="Arial"/>
                <w:sz w:val="18"/>
                <w:szCs w:val="18"/>
                <w:color w:val="auto"/>
              </w:rPr>
              <w:t>66 %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revenue decreased by $13.5 million, or 22%, for the three months ended March 31, 2023 driven by a $6.0 million decrease in variable cost of revenue largely due to the decrease in revenue year-over-year, a $5.9 million decrease in compensation expense reflecting savings from our previous cost savings actions, and a $1.3 million decrease in restructuring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36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1940" w:type="dxa"/>
            <w:vAlign w:val="bottom"/>
          </w:tcPr>
          <w:p>
            <w:pPr>
              <w:ind w:left="640"/>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9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rPr>
              <w:t>15,301</w:t>
            </w:r>
          </w:p>
        </w:tc>
        <w:tc>
          <w:tcPr>
            <w:tcW w:w="1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17,803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As a percentage of revenue</w:t>
            </w:r>
          </w:p>
        </w:tc>
        <w:tc>
          <w:tcPr>
            <w:tcW w:w="1940" w:type="dxa"/>
            <w:vAlign w:val="bottom"/>
          </w:tcPr>
          <w:p>
            <w:pPr>
              <w:jc w:val="right"/>
              <w:ind w:right="299"/>
              <w:spacing w:after="0"/>
              <w:rPr>
                <w:sz w:val="20"/>
                <w:szCs w:val="20"/>
                <w:color w:val="auto"/>
              </w:rPr>
            </w:pPr>
            <w:r>
              <w:rPr>
                <w:rFonts w:ascii="Arial" w:cs="Arial" w:eastAsia="Arial" w:hAnsi="Arial"/>
                <w:sz w:val="18"/>
                <w:szCs w:val="18"/>
                <w:color w:val="auto"/>
              </w:rPr>
              <w:t>23 %</w:t>
            </w:r>
          </w:p>
        </w:tc>
        <w:tc>
          <w:tcPr>
            <w:tcW w:w="134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Sales and marketing expenses decreased by $2.5 million, or 14%, for the three months ended March 31, 2023 driven by a $2.5 million decrease in compensation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336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300" w:type="dxa"/>
            <w:vAlign w:val="bottom"/>
          </w:tcPr>
          <w:p>
            <w:pPr>
              <w:spacing w:after="0"/>
              <w:rPr>
                <w:sz w:val="16"/>
                <w:szCs w:val="16"/>
                <w:color w:val="auto"/>
              </w:rPr>
            </w:pPr>
          </w:p>
        </w:tc>
        <w:tc>
          <w:tcPr>
            <w:tcW w:w="1940" w:type="dxa"/>
            <w:vAlign w:val="bottom"/>
          </w:tcPr>
          <w:p>
            <w:pPr>
              <w:ind w:left="640"/>
              <w:spacing w:after="0"/>
              <w:rPr>
                <w:sz w:val="20"/>
                <w:szCs w:val="20"/>
                <w:color w:val="auto"/>
              </w:rPr>
            </w:pPr>
            <w:r>
              <w:rPr>
                <w:rFonts w:ascii="Arial" w:cs="Arial" w:eastAsia="Arial" w:hAnsi="Arial"/>
                <w:sz w:val="14"/>
                <w:szCs w:val="14"/>
                <w:b w:val="1"/>
                <w:bCs w:val="1"/>
                <w:color w:val="auto"/>
              </w:rPr>
              <w:t>2023</w:t>
            </w: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9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rPr>
              <w:t>22,002</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32,562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As a percentage of revenue</w:t>
            </w:r>
          </w:p>
        </w:tc>
        <w:tc>
          <w:tcPr>
            <w:tcW w:w="1940" w:type="dxa"/>
            <w:vAlign w:val="bottom"/>
          </w:tcPr>
          <w:p>
            <w:pPr>
              <w:jc w:val="right"/>
              <w:ind w:right="299"/>
              <w:spacing w:after="0"/>
              <w:rPr>
                <w:sz w:val="20"/>
                <w:szCs w:val="20"/>
                <w:color w:val="auto"/>
              </w:rPr>
            </w:pPr>
            <w:r>
              <w:rPr>
                <w:rFonts w:ascii="Arial" w:cs="Arial" w:eastAsia="Arial" w:hAnsi="Arial"/>
                <w:sz w:val="18"/>
                <w:szCs w:val="18"/>
                <w:color w:val="auto"/>
              </w:rPr>
              <w:t>33 %</w:t>
            </w: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decreased by $10.6 million, or 32%, for the three months ended March 31, 2023 driven by a $4.3 million decrease in transaction-related and public company readiness costs, a $2.1 million increase in sublease income largely associated with the sublease of our former corporate headquarters in the third quarter of 2022, a $2.1 million decrease in stock-based compensation expenses, and a $0.7 million decrease in professional and consulting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88"/>
              </w:rPr>
              <w:t>3,819</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7,192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680" w:type="dxa"/>
            <w:vAlign w:val="bottom"/>
          </w:tcPr>
          <w:p>
            <w:pPr>
              <w:jc w:val="right"/>
              <w:ind w:right="976"/>
              <w:spacing w:after="0"/>
              <w:rPr>
                <w:sz w:val="20"/>
                <w:szCs w:val="20"/>
                <w:color w:val="auto"/>
              </w:rPr>
            </w:pPr>
            <w:r>
              <w:rPr>
                <w:rFonts w:ascii="Arial" w:cs="Arial" w:eastAsia="Arial" w:hAnsi="Arial"/>
                <w:sz w:val="18"/>
                <w:szCs w:val="18"/>
                <w:color w:val="auto"/>
              </w:rPr>
              <w:t>6 %</w:t>
            </w: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decreased by $3.4 million, or 47%, for the three months ended March 31, 2023 driven by a $2.7 million decrease in compensation expenses and a $0.5 million decrease in stock-based compensation expenses.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88"/>
              </w:rPr>
              <w:t>8,405</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8,481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680" w:type="dxa"/>
            <w:vAlign w:val="bottom"/>
          </w:tcPr>
          <w:p>
            <w:pPr>
              <w:jc w:val="right"/>
              <w:ind w:right="976"/>
              <w:spacing w:after="0"/>
              <w:rPr>
                <w:sz w:val="20"/>
                <w:szCs w:val="20"/>
                <w:color w:val="auto"/>
              </w:rPr>
            </w:pPr>
            <w:r>
              <w:rPr>
                <w:rFonts w:ascii="Arial" w:cs="Arial" w:eastAsia="Arial" w:hAnsi="Arial"/>
                <w:sz w:val="18"/>
                <w:szCs w:val="18"/>
                <w:color w:val="auto"/>
              </w:rPr>
              <w:t>13 %</w:t>
            </w: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2023, depreciation and amortization expenses remained flat with a $0.1 million, or 1%, decrease year-over-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2023</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6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rPr>
              <w:t>620</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660" w:type="dxa"/>
            <w:vAlign w:val="bottom"/>
          </w:tcPr>
          <w:p>
            <w:pPr>
              <w:jc w:val="right"/>
              <w:ind w:right="1036"/>
              <w:spacing w:after="0"/>
              <w:rPr>
                <w:sz w:val="20"/>
                <w:szCs w:val="20"/>
                <w:color w:val="auto"/>
              </w:rPr>
            </w:pPr>
            <w:r>
              <w:rPr>
                <w:rFonts w:ascii="Arial" w:cs="Arial" w:eastAsia="Arial" w:hAnsi="Arial"/>
                <w:sz w:val="18"/>
                <w:szCs w:val="18"/>
                <w:color w:val="auto"/>
              </w:rPr>
              <w:t>1 %</w:t>
            </w:r>
          </w:p>
        </w:tc>
        <w:tc>
          <w:tcPr>
            <w:tcW w:w="58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2023, other income, net decreased by $0.2 million, or 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360" w:type="dxa"/>
            <w:vAlign w:val="bottom"/>
            <w:gridSpan w:val="3"/>
          </w:tcPr>
          <w:p>
            <w:pPr>
              <w:ind w:left="6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1940" w:type="dxa"/>
            <w:vAlign w:val="bottom"/>
          </w:tcPr>
          <w:p>
            <w:pPr>
              <w:ind w:left="660"/>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9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(5,418)</w:t>
            </w: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(4,789)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As a percentage of revenue</w:t>
            </w:r>
          </w:p>
        </w:tc>
        <w:tc>
          <w:tcPr>
            <w:tcW w:w="1940" w:type="dxa"/>
            <w:vAlign w:val="bottom"/>
          </w:tcPr>
          <w:p>
            <w:pPr>
              <w:jc w:val="right"/>
              <w:ind w:right="299"/>
              <w:spacing w:after="0"/>
              <w:rPr>
                <w:sz w:val="20"/>
                <w:szCs w:val="20"/>
                <w:color w:val="auto"/>
              </w:rPr>
            </w:pPr>
            <w:r>
              <w:rPr>
                <w:rFonts w:ascii="Arial" w:cs="Arial" w:eastAsia="Arial" w:hAnsi="Arial"/>
                <w:sz w:val="18"/>
                <w:szCs w:val="18"/>
                <w:color w:val="auto"/>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net increased by $0.6 million, or 13%, for the three months ended March 31, 2023, primarily due to increased interest rates year-over-year coupled with a larger amount outstanding under our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36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75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196"/>
        </w:trPr>
        <w:tc>
          <w:tcPr>
            <w:tcW w:w="7260" w:type="dxa"/>
            <w:vAlign w:val="bottom"/>
            <w:gridSpan w:val="2"/>
          </w:tcPr>
          <w:p>
            <w:pPr>
              <w:ind w:left="6940"/>
              <w:spacing w:after="0"/>
              <w:rPr>
                <w:sz w:val="20"/>
                <w:szCs w:val="20"/>
                <w:color w:val="auto"/>
              </w:rPr>
            </w:pPr>
            <w:r>
              <w:rPr>
                <w:rFonts w:ascii="Arial" w:cs="Arial" w:eastAsia="Arial" w:hAnsi="Arial"/>
                <w:sz w:val="14"/>
                <w:szCs w:val="14"/>
                <w:b w:val="1"/>
                <w:bCs w:val="1"/>
                <w:color w:val="auto"/>
                <w:w w:val="96"/>
              </w:rPr>
              <w:t>2023</w:t>
            </w:r>
          </w:p>
        </w:tc>
        <w:tc>
          <w:tcPr>
            <w:tcW w:w="960" w:type="dxa"/>
            <w:vAlign w:val="bottom"/>
          </w:tcPr>
          <w:p>
            <w:pPr>
              <w:spacing w:after="0"/>
              <w:rPr>
                <w:sz w:val="17"/>
                <w:szCs w:val="17"/>
                <w:color w:val="auto"/>
              </w:rPr>
            </w:pP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9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5"/>
              </w:rPr>
              <w:t>(593)</w:t>
            </w: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(3,416)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recorded a loss on the change in fair value of warrant liabilities of $0.6 million for the three months ended March 31, 2023 compared to a loss of $3.4 million for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360" w:type="dxa"/>
            <w:vAlign w:val="bottom"/>
            <w:gridSpan w:val="3"/>
          </w:tcPr>
          <w:p>
            <w:pPr>
              <w:ind w:left="6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3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75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920" w:type="dxa"/>
            <w:vAlign w:val="bottom"/>
            <w:gridSpan w:val="2"/>
          </w:tcPr>
          <w:p>
            <w:pPr>
              <w:ind w:left="2640"/>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92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(1,005)</w:t>
            </w: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(1,575)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As a percentage of revenue</w:t>
            </w:r>
          </w:p>
        </w:tc>
        <w:tc>
          <w:tcPr>
            <w:tcW w:w="3920" w:type="dxa"/>
            <w:vAlign w:val="bottom"/>
            <w:gridSpan w:val="2"/>
          </w:tcPr>
          <w:p>
            <w:pPr>
              <w:jc w:val="right"/>
              <w:ind w:right="308"/>
              <w:spacing w:after="0"/>
              <w:rPr>
                <w:sz w:val="20"/>
                <w:szCs w:val="20"/>
                <w:color w:val="auto"/>
              </w:rPr>
            </w:pPr>
            <w:r>
              <w:rPr>
                <w:rFonts w:ascii="Arial" w:cs="Arial" w:eastAsia="Arial" w:hAnsi="Arial"/>
                <w:sz w:val="18"/>
                <w:szCs w:val="18"/>
                <w:color w:val="auto"/>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5"/>
        </w:trPr>
        <w:tc>
          <w:tcPr>
            <w:tcW w:w="4300" w:type="dxa"/>
            <w:vAlign w:val="bottom"/>
          </w:tcPr>
          <w:p>
            <w:pPr>
              <w:spacing w:after="0"/>
              <w:rPr>
                <w:sz w:val="24"/>
                <w:szCs w:val="24"/>
                <w:color w:val="auto"/>
              </w:rPr>
            </w:pPr>
          </w:p>
        </w:tc>
        <w:tc>
          <w:tcPr>
            <w:tcW w:w="1980" w:type="dxa"/>
            <w:vAlign w:val="bottom"/>
          </w:tcPr>
          <w:p>
            <w:pPr>
              <w:jc w:val="right"/>
              <w:ind w:right="475"/>
              <w:spacing w:after="0"/>
              <w:rPr>
                <w:sz w:val="20"/>
                <w:szCs w:val="20"/>
                <w:color w:val="auto"/>
              </w:rPr>
            </w:pPr>
            <w:r>
              <w:rPr>
                <w:rFonts w:ascii="Arial" w:cs="Arial" w:eastAsia="Arial" w:hAnsi="Arial"/>
                <w:sz w:val="18"/>
                <w:szCs w:val="18"/>
                <w:color w:val="auto"/>
              </w:rPr>
              <w:t>34</w:t>
            </w: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recorded a loss on the change in fair value of derivative liability of $1.0 million for the three months ended March 31, 2023 compared to a loss of $1.6 million for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680" w:type="dxa"/>
            <w:vAlign w:val="bottom"/>
            <w:gridSpan w:val="2"/>
          </w:tcPr>
          <w:p>
            <w:pPr>
              <w:ind w:left="640"/>
              <w:spacing w:after="0"/>
              <w:rPr>
                <w:sz w:val="20"/>
                <w:szCs w:val="20"/>
                <w:color w:val="auto"/>
              </w:rPr>
            </w:pPr>
            <w:r>
              <w:rPr>
                <w:rFonts w:ascii="Arial" w:cs="Arial" w:eastAsia="Arial" w:hAnsi="Arial"/>
                <w:sz w:val="14"/>
                <w:szCs w:val="14"/>
                <w:b w:val="1"/>
                <w:bCs w:val="1"/>
                <w:color w:val="auto"/>
                <w:w w:val="97"/>
              </w:rPr>
              <w:t>Three Months Ended March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2023</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6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rPr>
              <w:t>147</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As a percentage of revenue</w:t>
            </w:r>
          </w:p>
        </w:tc>
        <w:tc>
          <w:tcPr>
            <w:tcW w:w="1660" w:type="dxa"/>
            <w:vAlign w:val="bottom"/>
          </w:tcPr>
          <w:p>
            <w:pPr>
              <w:jc w:val="right"/>
              <w:ind w:right="1036"/>
              <w:spacing w:after="0"/>
              <w:rPr>
                <w:sz w:val="20"/>
                <w:szCs w:val="20"/>
                <w:color w:val="auto"/>
              </w:rPr>
            </w:pPr>
            <w:r>
              <w:rPr>
                <w:rFonts w:ascii="Arial" w:cs="Arial" w:eastAsia="Arial" w:hAnsi="Arial"/>
                <w:sz w:val="18"/>
                <w:szCs w:val="18"/>
                <w:color w:val="auto"/>
              </w:rPr>
              <w:t>— %</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the three months ended March 31, 2023 and 2022, the Company recorded income tax provisions of $0.1 million and $0.4 million, respectively, related to federal, state, and foreign taxes.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March 31, 2023,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the Company’s income tax provision and net income in the period in which such determination is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EBITDA is a non-GAAP financial measure and represents a key metric used by management and the Board of Directors to measure the operational strength and performance of our business, to establish budgets, and to develop operational goals for managing our business. We define Adjusted EBITDA as net loss, excluding the impact of net (loss) income attributable to noncontrolling interests, income tax provision, interest expense, net, other income, net, depreciation and amortization, stock-based compensation, change in fair value of warrant liabilities, change in fair value of derivative liability, restructuring costs, transaction-related costs, public company readiness costs, and other non-cash and non-recurring items that management believes are not indicative of ongoing operations.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EBITDA should not be considered a substitute for loss from operations, net loss, or net loss attributable to BuzzFeed, Inc. that we have reported in accordance with GAAP.</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loss to Adjusted EBITDA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consolidated net loss to Adjusted EBITDA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Transaction-related costs</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company readiness costs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For the three months ended March 31, 2022, reflects costs associated with the organizational changes to align sales and marketing and general and administrative functions as well as changes in content to better serve audience demands.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pacing w:after="0" w:line="192"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spacing w:after="0" w:line="183" w:lineRule="exact"/>
        <w:rPr>
          <w:rFonts w:ascii="Arial" w:cs="Arial" w:eastAsia="Arial" w:hAnsi="Arial"/>
          <w:sz w:val="18"/>
          <w:szCs w:val="18"/>
          <w:color w:val="231F20"/>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Reflects one-time initial set-up costs associated with the establishment of our public company structure and processes.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digital media company, we are subject to certain inherent risks and uncertainties associated with the development of our business. To date, substantially all of our efforts have been devoted to the growth of our owned and operated properties and portfolio of brands. This includes our proprietary technology infrastructure, advertising solutions, content creation tools, and more. We have invested in the recruitment of key management and technical staff and have acquired certain businesses. These investments have historically been funded by raising outside capital, and as a result of these efforts, we have generally incurred significant losses and used net cash outflows from operations since our inception— and we may continue to incur such losses and use net cash outflows for the foreseeable future until such time we reach a scale of profitability without needing to rely on funding from outside capital to sustain our operations.</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order to execute our growth strategy, we have historically relied on outside capital through the issuance of equity, debt, and borrowings under financing arrangements (“outside capital”). We may continue to rely on outside capital for the foreseeable future. While we believe we will eventually reach a scale of profitability to sustain our operations, there can be no assurance we will be able to achieve such profitability or do so in a manner that does not necessitate our continued reliance on outside capital.</w:t>
      </w:r>
    </w:p>
    <w:p>
      <w:pPr>
        <w:spacing w:after="0" w:line="194"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As of the date the accompanying consolidated financial statements were issued (“issuance date”), the presence of the following risks and uncertainties associated with our financial condition may adversely affect our ability to sustain our operations over the next twelve months beyond the issuance date.</w:t>
      </w:r>
    </w:p>
    <w:p>
      <w:pPr>
        <w:spacing w:after="0" w:line="195" w:lineRule="exact"/>
        <w:rPr>
          <w:sz w:val="20"/>
          <w:szCs w:val="20"/>
          <w:color w:val="auto"/>
        </w:rPr>
      </w:pPr>
    </w:p>
    <w:p>
      <w:pPr>
        <w:jc w:val="both"/>
        <w:ind w:left="660" w:hanging="328"/>
        <w:spacing w:after="0" w:line="24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Since our inception, we have generally incurred significant losses and used net cash flows from operations to grow our owned and operated properties and portfolio of brands. During the three months ended March 31, 2023, we incurred a net loss of $36.3 million and used cash flow from operations of $0.2 million. Additionally, as of</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March 31, 2023, we had unrestricted cash and cash equivalents of $49.9 million available to fund our operations, $2.3 million available under our $50.0 million revolving loan and standby letter of credit facility agreement (i.e., the “Revolving Credit Facility”) (see Note 9 to the condensed consolidated financial statements for additional details), and an accumulated deficit of $559.2 million.</w:t>
      </w:r>
    </w:p>
    <w:p>
      <w:pPr>
        <w:spacing w:after="0" w:line="195"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to continue to be impacted by the challenging U.S. and global macroeconomic environment, which could adversely impact our ability to grow revenue over the next twelve months beyond the issuance date.</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 to be affected by our ongoing efforts to integrate Complex Networks and sales execution against the combined brand portfolio, which may result in the incurrence of unexpected expenses or the inability to realize in anticipated benefits and synergies over the next twelve months beyond the issuance date.</w:t>
      </w:r>
    </w:p>
    <w:p>
      <w:pPr>
        <w:spacing w:after="0" w:line="174"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required to remain in compliance with certain covenants required by the Revolving Credit Facility which, among others, require us to maintain a minimum of $25.0 million of unrestricted cash at all times and limit, under prescribed circumstances, our ability to incur additional indebtedness, pay dividends, hold unpermitted investments, or make material changes to the business. While we were in compliance with the financial covenants under the Revolving Credit Facility as of March 31, 2023, and we expect to remain in compliance throughout twelve months beyond the issuance date, we may be unable to remain in compliance with one or more of these covenants if we are unable to generate net cash inflows from operations or, if necessary, secure additional outside capital. In the event we are unable to remain in compliance with one or more of the aforementioned covenants, and we are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Due to the risks and uncertainties described above, we continue to carefully evaluate our liquidity position. We recognize the significant challenge of maintaining sufficient liquidity to sustain our operations or remain in compliance with one or more of the covenants required by the Revolving Credit Facility, for the next twelve months beyond the issuance date. However, notwithstanding our liquidity position as of the issuance date, and while it is difficult to predict our future liquidity requirements with certainty, we currently expect we will be able to generate sufficient liquidity to fund our operations over the next twelve months beyond the issuance date.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In response to the risks and uncertainties described above, we may plan to secure additional outside capital over the next twelve months beyond the issuance date. While we have historically been successful in our ability to secure outside capital, as of the issuance date, we had no firm commitments of additional outside capital. We can provide no assurance we will be able to continue to secure outside capital in the future or do so on terms that are acceptable to us. Furthermore, we also plan to continue to closely monitor our cash flow forecast and, if necessary, we will implement certain incremental cost savings to preserve our liquidity beyond those that were implemented through the restructuring activities that occurred during fiscal year 2022 and 2023 (see Note 19 to the condensed consolidated financial statements for additional details) or through the reduction of our real estate footprint. While we currently expect we will be able to generate sufficient liquidity to fund our operations for the next twelve months beyond the issuance date, we can provide no assurance we will successfully generate such liquidity, or if necessary, secure additional outside capital or implement incremental cost savings.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 $50.0 million revolving loan and letter of credit facility (i.e., the Revolving Credit Facility), maturing in December 2025.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We incurred $0.2 million of debt issuance fees associated with the December 15, 2022 amendment. On May 10, 2023, the parties to the Revolving Credit Facility entered into a joinder agreement adding one of our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 The foregoing summary of the joinder agreement is not complete and is qualified in its entirety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reference to the full text of the agreement, a copy of which is attached as Exhibit 10.3 to this Quarterly Report on Form 10-Q and incorporated herein by reference.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includes covenants that, among other things, require us to maintain at least $25.0 million of unrestricted cash at all times and limit, under prescribed circumstances, our ability to incur additional indebtedness, pay dividends, hold unpermitted investments, or make material changes to the business. We were in compliance with the financial covenants under such facility as of March 31, 2023.</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Borrowings under the Revolving Credit Facility bear interest at the SOFR rate, subject to a floor rate of 0.75%, plus a margin of 3.75% to 4.25%, depending on the level of the Company’s utilization of the facility (8.49% at March 31, 2023), and subject to a monthly minimum utilization of $15.0 million. The facility also includes an unused commitment fee of 0.375%.</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we had outstanding borrowings of $32.2 million, outstanding letters of credit of $15.5 million, and remaining borrowing capacity of $2.3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In connection with the closing of the Business Combination, we issued $150.0 million aggregate principal amount of unsecured convertible notes due 2026 (i.e., the Notes). The Notes bear interest at a rate of 8.50% per annum, payable semi-annually, are convertible into approximately 12,000,000 shares of our Class A common stock (or, our election, a combination of cash and our Class A common stock), at an initial conversion price of $12.50, and mature on December 3, 2026.</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(i.e., between December 3, 2022 and December 3, 2024), we will be obligated to pay an amount in cash equal to: (i) from the one year anniversary of the issuance of the Notes to the two year anniversary of the issuance of the Notes, an amount equal to 18 month’s interest declining ratably on a monthly basis to twelve month’s interest on the aggregate principal amount of the Notes so converted and (ii) from the two year anniversary of the issuance of the Notes to the three year anniversary of the issuance of the Notes, an amount equal to twelve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Each holder of a Note will have the right to cause us to repurchase for cash all or a portion of the Notes held by such holder (i) at any time after the third anniversary of the date on which the Business Combination was consummated, at a price equal to par plus accrued and unpaid interest; or (ii) at any time upon the occurrence of a fundamental change (as defined in the indenture governing the Notes), at a price equal to 101% of par plus accrued and unpaid interest.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operating, investing and financing activities were as follows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(5,922)</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8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2023, net cash used in operating activities was $0.2 million compared to net cash provided by operating activities of $1.1 million for the three months ended March 31, 2022. The change was primarily driven by a $1.7 million decrease in net loss, adjusted for non-cash items and a $5.6 million increase in the change in accounts payable. These were partially offset by a $3.9 million decrease in the change in deferred revenue, a $2.7 million decrease in the change in accrued compensation, and a $0.9 million decrease in the change in prepaid expenses and other current assets and prepaid expenses and other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three months ended March 31, 2023, cash used in investing activities was $4.2 million, which consisted of $4.0 million of capital expenditures on internal-use software and $0.4 million of other capital expenditures, partially offset by a $0.2 million gain on the sale of an asset.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cash used in investing activities was $5.9 million, which consisted of $3.6 million of expenditures on internal-use software and $2.3 million of other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2023, cash used in financing activities was $1.5 million, which consisted of $1.3 million repayment on the Revolving Credit Facility and $0.2 million payment for withholding taxes on the vesting of certain RSUs.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cash used in financing activities was $0.2 million, which principally consisted of $0.6 million of deferred reverse recapitalization costs, partially offset by proceeds from the exercise of stock options of $0.4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commitments consist of obligations for office space under non-cancelable operating leases with various expiration dates through 2029 and repayment of borrowings under the Revolving Credit Facility and the Notes. Refer to Note 15 to the condensed consolidated financial statements for additional details.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March 31, 2023, the maximum amount under the guarantee was $0.7 million, and no liability was recognized with respect to the guarantee.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 to Note 9, Note 14, and Note 15 of our condensed consolidated financial statements included elsewhere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prepare our condensed consolidated financial statements and related notes in accordance with GAAP. In doing so, we have to make estimates and assumptions that affect our reported amounts of assets, liabilities, revenues, expenses, and related disclosures. We evaluate our estimates and assumptions on an ongoing basis. Our estimates are based on</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Please refer to “Management’s Discussion and Analysis of Financial Condition and Results of Operations” contained in Part II, Item 7 of our Annual Report on Form 10-K for the fiscal year ended December 31, 2022 for a more complete discussion of our critical accounting policies and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2 of our condensed consolidated financial statements included elsewhere in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the recent strengthening of the U.S. dollar against the British pound, Japanese yen, and most other major international currencies, could negatively affect our revenue and results of operations as expressed in U.S. dollars. Fluctuations in foreign currency rates, including the strengthening of the U.S. dollar against the British pound and Japanese yen, adversely affects our revenue growth in terms of the amounts that we report in U.S. dollars after converting our foreign currency results into U.S. dollars. In addition, currency variations can adversely affect margins on sales of our products and services in countries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exposure to interest rates relates primarily to the variable interest component on the Revolving Credit Facility as well as interest earned and market value on money market funds included in our cash and cash equivalents. The effect of a hypothetical 10% change in interest rates applicable to our business would not have a material impact on our condensed consolidated financial statements for the three months ended March 31, 2023 or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$3.6 million at March 31, 2023 and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audit of our consolidated financial statements as of December 31, 2022,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ineffective upstream processes for gathering critical data to support formalized assessment and review of certain technical accounting matters; and (c) the selection and development of control activities, including information technology (“IT”) general controls.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2022, management implemented remediation plans and enhanced controls within the financial statement close process. However, certain business process controls did not operate at the appropriate level of precision to prevent or detect a material misstatement. Management is in progress of implementing remediation plans to refine control procedures and enhance documentation to ensure controls operate sufficiently. Although management designed remediation plans in 2022 across its IT general control environment, due to resource constraints and lack of sufficient staff with technical expertise, the necessary IT general controls were partially implemented or not executed consistently.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With the oversight of senior management, we have hired additional accounting personnel with technical accounting, financial reporting and public company experience throughout 2022. However, the process for gathering critical information to support certain technical accounting conclusions is manual and time-intensive. Additionally, management did not maintain sufficient evidence of certain technical accounting assessments and reviews.</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Management is in progress of implementing remediation plans in 2023 which include: (i) refining control procedures and enhancing documentation to ensure controls operate sufficiently and consistently across the financial statement close process; (ii) enhancing upstream processes to streamline data gathering from key business stakeholders,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and formalizing documentation of certain technical accounting assessments and conclusions; and (iii) designing and implementing formalized controls within our IT general control environment.</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2023 and will make the changes we determine to be appropriate.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March 31, 2023, the period covered in this report, our disclosure controls and procedures were not effective.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quarter ended March 31, 2023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certain wholly-owned subsidiaries of 890, and BuzzFeed, Inc., a Delaware corporation (“Legacy BuzzFeed” and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of 1933, as amended (the “Securities Act”). The Claimants sought to recover unspecified compensatory damages, an award of costs, and any further appropriate relief.</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does not believe at this time that the final outcome of this matter will have a material adverse effect on its financial position, results of operations, or cash flows.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other legal proceedings in which we are involved, see Note 15 of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Disclosure about our existing risk factors is set forth in Item 1A, “Risk Factors,” in our Annual Report on Form 10-K for the fiscal year ended December 31, 2022. Other than as described below, our risk factors have not changed materially since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realize the expected financial and operational benefits of our recently announced restructuring plan, and its implementation may negatively impact our business.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20, 2023, we announced plans to reduce expenses by implementing an approximately 15 percent reduction in the current workforce. The reduction in workforce plan is part of a broader strategic reprioritization across the organization in order to accelerate revenue growth and improve upon profitability and cash flow. There can be no assurance that our business will be more efficient or effective than prior to implementation of the plan. In addition, we cannot guarantee that this restructuring will achieve the desired and anticipated benefits within our desired and expected timeframe, and our expectations are subject to many estimates and assumptions, and the actual savings and costs, and the timing for those savings and costs, may vary materially based on factors such as local labor regulations, collective bargaining agreement requirements, negotiations with third parties, and operational requirements. These estimates and assumptions are also subject to significant economic, competitive and other uncertainties, some of which are beyond our control. The implementation of this restructuring plan may also be costly and disruptive to our business or have other negative consequences, such as litigation, attrition beyond our planned reduction in workforce, negative impacts on employee morale and productivity, or on our ability to attract and retain highly skilled employees. Any of these consequences could negatively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8"/>
        </w:trPr>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27"/>
          </w:tcPr>
          <w:p>
            <w:pPr>
              <w:ind w:left="5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82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7"/>
                <w:szCs w:val="17"/>
                <w:color w:val="auto"/>
              </w:rPr>
            </w:pPr>
          </w:p>
        </w:tc>
        <w:tc>
          <w:tcPr>
            <w:tcW w:w="926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Agreement and Plan of Merger, dated as of June 24, 2021, by and among 890 5th Avenue Partners, Inc., Bolt Merger Sub I, Inc.,</w:t>
              </w:r>
            </w:hyperlink>
          </w:p>
        </w:tc>
        <w:tc>
          <w:tcPr>
            <w:tcW w:w="60" w:type="dxa"/>
            <w:vAlign w:val="bottom"/>
          </w:tcPr>
          <w:p>
            <w:pPr>
              <w:spacing w:after="0"/>
              <w:rPr>
                <w:sz w:val="17"/>
                <w:szCs w:val="17"/>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Bolt Merger Sub II, Inc., and BuzzFeed, Inc.(incorporated by reference to Exhibit 2.1 to the Company’s Current Report on Form</w:t>
              </w:r>
            </w:hyperlink>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8-K (File No. 001-39877) filed on June 24, 2021).</w:t>
              </w:r>
            </w:hyperlink>
          </w:p>
        </w:tc>
        <w:tc>
          <w:tcPr>
            <w:tcW w:w="5620" w:type="dxa"/>
            <w:vAlign w:val="bottom"/>
            <w:tcBorders>
              <w:top w:val="single" w:sz="8" w:color="0000FF"/>
            </w:tcBorders>
            <w:gridSpan w:val="26"/>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1"/>
                <w:szCs w:val="21"/>
                <w:color w:val="auto"/>
              </w:rPr>
            </w:pPr>
          </w:p>
        </w:tc>
        <w:tc>
          <w:tcPr>
            <w:tcW w:w="8940" w:type="dxa"/>
            <w:vAlign w:val="bottom"/>
            <w:tcBorders>
              <w:bottom w:val="single" w:sz="8" w:color="0000FF"/>
            </w:tcBorders>
            <w:gridSpan w:val="29"/>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Amendment No. 1 to Agreement and Plan of Merger, dated as of October 28, 2021, by and among 890 5th Avenue Partners,</w:t>
              </w:r>
            </w:hyperlink>
          </w:p>
        </w:tc>
        <w:tc>
          <w:tcPr>
            <w:tcW w:w="380" w:type="dxa"/>
            <w:vAlign w:val="bottom"/>
            <w:gridSpan w:val="4"/>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FF"/>
                <w:w w:val="97"/>
              </w:rPr>
            </w:pPr>
            <w:hyperlink r:id="rId64">
              <w:r>
                <w:rPr>
                  <w:rFonts w:ascii="Arial" w:cs="Arial" w:eastAsia="Arial" w:hAnsi="Arial"/>
                  <w:sz w:val="18"/>
                  <w:szCs w:val="18"/>
                  <w:color w:val="0000FF"/>
                  <w:w w:val="97"/>
                </w:rPr>
                <w:t xml:space="preserve">Inc., Bolt Merger Sub I, Inc., Bolt Merger Sub II, Inc., and BuzzFeed, Inc. </w:t>
              </w:r>
            </w:hyperlink>
            <w:hyperlink r:id="rId63">
              <w:r>
                <w:rPr>
                  <w:rFonts w:ascii="Arial" w:cs="Arial" w:eastAsia="Arial" w:hAnsi="Arial"/>
                  <w:sz w:val="18"/>
                  <w:szCs w:val="18"/>
                  <w:color w:val="0000FF"/>
                  <w:w w:val="97"/>
                </w:rPr>
                <w:t xml:space="preserve">(incorporated by reference to Exhibit </w:t>
              </w:r>
            </w:hyperlink>
            <w:hyperlink r:id="rId64">
              <w:r>
                <w:rPr>
                  <w:rFonts w:ascii="Arial" w:cs="Arial" w:eastAsia="Arial" w:hAnsi="Arial"/>
                  <w:sz w:val="18"/>
                  <w:szCs w:val="18"/>
                  <w:color w:val="0000FF"/>
                  <w:w w:val="97"/>
                </w:rPr>
                <w:t xml:space="preserve">2.2 </w:t>
              </w:r>
            </w:hyperlink>
            <w:hyperlink r:id="rId63">
              <w:r>
                <w:rPr>
                  <w:rFonts w:ascii="Arial" w:cs="Arial" w:eastAsia="Arial" w:hAnsi="Arial"/>
                  <w:sz w:val="18"/>
                  <w:szCs w:val="18"/>
                  <w:color w:val="0000FF"/>
                  <w:w w:val="97"/>
                </w:rPr>
                <w:t>to the</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 xml:space="preserve">Company’s Registration Statement on Form S-4/A (File No. 001-39877) filed on October </w:t>
              </w:r>
            </w:hyperlink>
            <w:r>
              <w:rPr>
                <w:rFonts w:ascii="Arial" w:cs="Arial" w:eastAsia="Arial" w:hAnsi="Arial"/>
                <w:sz w:val="18"/>
                <w:szCs w:val="18"/>
                <w:color w:val="0000FF"/>
                <w:w w:val="91"/>
              </w:rPr>
              <w:t xml:space="preserve">29, </w:t>
            </w:r>
            <w:hyperlink r:id="rId63">
              <w:r>
                <w:rPr>
                  <w:rFonts w:ascii="Arial" w:cs="Arial" w:eastAsia="Arial" w:hAnsi="Arial"/>
                  <w:sz w:val="18"/>
                  <w:szCs w:val="18"/>
                  <w:color w:val="0000FF"/>
                  <w:w w:val="91"/>
                </w:rPr>
                <w:t>2021).</w:t>
              </w:r>
            </w:hyperlink>
          </w:p>
        </w:tc>
        <w:tc>
          <w:tcPr>
            <w:tcW w:w="2080" w:type="dxa"/>
            <w:vAlign w:val="bottom"/>
            <w:gridSpan w:val="13"/>
          </w:tcPr>
          <w:p>
            <w:pPr>
              <w:spacing w:after="0"/>
              <w:rPr>
                <w:sz w:val="17"/>
                <w:szCs w:val="17"/>
                <w:color w:val="auto"/>
              </w:rPr>
            </w:pPr>
          </w:p>
        </w:tc>
      </w:tr>
      <w:tr>
        <w:trPr>
          <w:trHeight w:val="250"/>
        </w:trPr>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2.3†*</w:t>
            </w:r>
          </w:p>
        </w:tc>
        <w:tc>
          <w:tcPr>
            <w:tcW w:w="8840" w:type="dxa"/>
            <w:vAlign w:val="bottom"/>
            <w:tcBorders>
              <w:bottom w:val="single" w:sz="8" w:color="0000FF"/>
            </w:tcBorders>
            <w:gridSpan w:val="28"/>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Membership Interest Purchase Agreement, dated as of March 27, 2021, by and among BuzzFeed, Inc., CM Partners, LLC,</w:t>
              </w:r>
            </w:hyperlink>
          </w:p>
        </w:tc>
        <w:tc>
          <w:tcPr>
            <w:tcW w:w="480" w:type="dxa"/>
            <w:vAlign w:val="bottom"/>
            <w:gridSpan w:val="5"/>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Complex Media, Inc., Verizon CMP Holdings LLC and HDS II, Inc. (incorporated by reference to Exhibit 2.2 to the Company’s</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Registration Statement on Form S-4 (File No. 001-39877) filed on July 30, 2021).</w:t>
              </w:r>
            </w:hyperlink>
          </w:p>
        </w:tc>
        <w:tc>
          <w:tcPr>
            <w:tcW w:w="3400" w:type="dxa"/>
            <w:vAlign w:val="bottom"/>
            <w:gridSpan w:val="19"/>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9060" w:type="dxa"/>
            <w:vAlign w:val="bottom"/>
            <w:tcBorders>
              <w:bottom w:val="single" w:sz="8" w:color="0000FF"/>
            </w:tcBorders>
            <w:gridSpan w:val="30"/>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Amendment No. 1 to the Membership Interest Purchase Agreement, dated as of June 24, 2021, by and among BuzzFeed, Inc.,</w:t>
              </w:r>
            </w:hyperlink>
          </w:p>
        </w:tc>
        <w:tc>
          <w:tcPr>
            <w:tcW w:w="260" w:type="dxa"/>
            <w:vAlign w:val="bottom"/>
            <w:gridSpan w:val="3"/>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 xml:space="preserve">CM Partners, LLC, Complex Media, Inc., Verizon CMP Holdings LLC and HDS II, Inc. </w:t>
              </w:r>
            </w:hyperlink>
            <w:hyperlink r:id="rId63">
              <w:r>
                <w:rPr>
                  <w:rFonts w:ascii="Arial" w:cs="Arial" w:eastAsia="Arial" w:hAnsi="Arial"/>
                  <w:sz w:val="18"/>
                  <w:szCs w:val="18"/>
                  <w:color w:val="0000FF"/>
                  <w:w w:val="95"/>
                </w:rPr>
                <w:t>(incorporated by reference to Exhibit</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2.</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to the Company’s Registration Statement on Form S-4 (File No. 001-39877) filed on July 30, 2021).</w:t>
              </w:r>
            </w:hyperlink>
          </w:p>
        </w:tc>
        <w:tc>
          <w:tcPr>
            <w:tcW w:w="1820" w:type="dxa"/>
            <w:vAlign w:val="bottom"/>
            <w:gridSpan w:val="12"/>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1"/>
                <w:szCs w:val="21"/>
                <w:color w:val="auto"/>
              </w:rPr>
            </w:pPr>
          </w:p>
        </w:tc>
        <w:tc>
          <w:tcPr>
            <w:tcW w:w="9320" w:type="dxa"/>
            <w:vAlign w:val="bottom"/>
            <w:gridSpan w:val="33"/>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 xml:space="preserve">Second Amended and Restated Certificate of Incorporation of BuzzFeed, Inc., </w:t>
              </w:r>
              <w:r>
                <w:rPr>
                  <w:rFonts w:ascii="Arial" w:cs="Arial" w:eastAsia="Arial" w:hAnsi="Arial"/>
                  <w:sz w:val="18"/>
                  <w:szCs w:val="18"/>
                  <w:color w:val="0000EE"/>
                  <w:w w:val="93"/>
                </w:rPr>
                <w:t>(incorporated by reference to Exhibit 3.1 to the</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Company’s Current Report on Form 8-K (File No. 001-39877) filed on December 3, 2021).</w:t>
              </w:r>
            </w:hyperlink>
          </w:p>
        </w:tc>
        <w:tc>
          <w:tcPr>
            <w:tcW w:w="2720" w:type="dxa"/>
            <w:vAlign w:val="bottom"/>
            <w:gridSpan w:val="16"/>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1"/>
                <w:szCs w:val="21"/>
                <w:color w:val="auto"/>
              </w:rPr>
            </w:pPr>
          </w:p>
        </w:tc>
        <w:tc>
          <w:tcPr>
            <w:tcW w:w="9320" w:type="dxa"/>
            <w:vAlign w:val="bottom"/>
            <w:gridSpan w:val="33"/>
          </w:tcPr>
          <w:p>
            <w:pPr>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Certificate of Change of Registered Agent and/or Registered Office, dated as of March 13, 2023 (incorporated by reference to</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2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Exhibit 3.1 to the Company's Current Report on Form 8-K (File No. 001-39877) filed on March 15, 2021).</w:t>
              </w:r>
            </w:hyperlink>
          </w:p>
        </w:tc>
        <w:tc>
          <w:tcPr>
            <w:tcW w:w="1620" w:type="dxa"/>
            <w:vAlign w:val="bottom"/>
            <w:gridSpan w:val="11"/>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1"/>
                <w:szCs w:val="21"/>
                <w:color w:val="auto"/>
              </w:rPr>
            </w:pPr>
          </w:p>
        </w:tc>
        <w:tc>
          <w:tcPr>
            <w:tcW w:w="9320" w:type="dxa"/>
            <w:vAlign w:val="bottom"/>
            <w:gridSpan w:val="33"/>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Restated Bylaws of BuzzFeed, Inc. (incorporated by reference to Exhibit 3.2 to the Company’s Current Report on Form 8-K</w:t>
              </w:r>
            </w:hyperlink>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80" w:type="dxa"/>
            <w:vAlign w:val="bottom"/>
            <w:gridSpan w:val="1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(File No. 001-39877) filed on December 9, 2021).</w:t>
              </w:r>
            </w:hyperlink>
          </w:p>
        </w:tc>
        <w:tc>
          <w:tcPr>
            <w:tcW w:w="5700" w:type="dxa"/>
            <w:vAlign w:val="bottom"/>
            <w:gridSpan w:val="28"/>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2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Greg Coleman Advisor Agreement.</w:t>
            </w:r>
          </w:p>
        </w:tc>
        <w:tc>
          <w:tcPr>
            <w:tcW w:w="6740" w:type="dxa"/>
            <w:vAlign w:val="bottom"/>
            <w:gridSpan w:val="29"/>
          </w:tcPr>
          <w:p>
            <w:pPr>
              <w:spacing w:after="0"/>
              <w:rPr>
                <w:sz w:val="21"/>
                <w:szCs w:val="21"/>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0000FF"/>
              </w:rPr>
              <w:t>Joan Amble Advisor Agreement.</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28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1"/>
                <w:szCs w:val="21"/>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0000FF"/>
                <w:w w:val="90"/>
              </w:rPr>
              <w:t>Joinder Agreement, dated May 10, 2022, to the Amended and Restated Loan and Security Agreement, dated December 3, 2021,</w:t>
            </w: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top w:val="single" w:sz="8" w:color="0000FF"/>
            </w:tcBorders>
            <w:gridSpan w:val="31"/>
          </w:tcPr>
          <w:p>
            <w:pPr>
              <w:spacing w:after="0" w:line="196" w:lineRule="exact"/>
              <w:rPr>
                <w:sz w:val="20"/>
                <w:szCs w:val="20"/>
                <w:color w:val="auto"/>
              </w:rPr>
            </w:pPr>
            <w:r>
              <w:rPr>
                <w:rFonts w:ascii="Arial" w:cs="Arial" w:eastAsia="Arial" w:hAnsi="Arial"/>
                <w:sz w:val="18"/>
                <w:szCs w:val="18"/>
                <w:color w:val="0000FF"/>
                <w:w w:val="96"/>
              </w:rPr>
              <w:t>by and among BuzzFeed, Inc., the borrowers thereto, the guarantors thereto and White Oak Commercial Finance, LLC.</w:t>
            </w:r>
          </w:p>
        </w:tc>
        <w:tc>
          <w:tcPr>
            <w:tcW w:w="80" w:type="dxa"/>
            <w:vAlign w:val="bottom"/>
            <w:gridSpan w:val="2"/>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4280" w:type="dxa"/>
            <w:vAlign w:val="bottom"/>
            <w:gridSpan w:val="1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1"/>
                <w:szCs w:val="21"/>
                <w:color w:val="auto"/>
              </w:rPr>
            </w:pPr>
          </w:p>
        </w:tc>
        <w:tc>
          <w:tcPr>
            <w:tcW w:w="882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1"/>
              </w:rPr>
              <w:t>Certification of Principal Executive Officer pursuant to Rule 13a-14(a) and 15d-14(a) under the Exchange Act, as adopted</w:t>
            </w:r>
          </w:p>
        </w:tc>
        <w:tc>
          <w:tcPr>
            <w:tcW w:w="500" w:type="dxa"/>
            <w:vAlign w:val="bottom"/>
            <w:gridSpan w:val="6"/>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5000" w:type="dxa"/>
            <w:vAlign w:val="bottom"/>
            <w:gridSpan w:val="26"/>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878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1"/>
              </w:rPr>
              <w:t>Certification of Principal Financial Officer pursuant to Rule 13a-14(a) and 15d-14(a) under the Exchange Act, as adopted</w:t>
            </w:r>
          </w:p>
        </w:tc>
        <w:tc>
          <w:tcPr>
            <w:tcW w:w="540" w:type="dxa"/>
            <w:vAlign w:val="bottom"/>
            <w:gridSpan w:val="8"/>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5000" w:type="dxa"/>
            <w:vAlign w:val="bottom"/>
            <w:gridSpan w:val="26"/>
          </w:tcPr>
          <w:p>
            <w:pPr>
              <w:spacing w:after="0"/>
              <w:rPr>
                <w:sz w:val="17"/>
                <w:szCs w:val="17"/>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8"/>
              </w:rPr>
              <w:t>32.1#</w:t>
            </w:r>
          </w:p>
        </w:tc>
        <w:tc>
          <w:tcPr>
            <w:tcW w:w="100" w:type="dxa"/>
            <w:vAlign w:val="bottom"/>
          </w:tcPr>
          <w:p>
            <w:pPr>
              <w:spacing w:after="0"/>
              <w:rPr>
                <w:sz w:val="21"/>
                <w:szCs w:val="21"/>
                <w:color w:val="auto"/>
              </w:rPr>
            </w:pPr>
          </w:p>
        </w:tc>
        <w:tc>
          <w:tcPr>
            <w:tcW w:w="88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w:t>
            </w:r>
          </w:p>
        </w:tc>
        <w:tc>
          <w:tcPr>
            <w:tcW w:w="520" w:type="dxa"/>
            <w:vAlign w:val="bottom"/>
            <w:gridSpan w:val="7"/>
          </w:tcPr>
          <w:p>
            <w:pPr>
              <w:spacing w:after="0"/>
              <w:rPr>
                <w:sz w:val="21"/>
                <w:szCs w:val="2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33"/>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640" w:type="dxa"/>
            <w:vAlign w:val="bottom"/>
            <w:gridSpan w:val="23"/>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r>
      <w:tr>
        <w:trPr>
          <w:trHeight w:val="250"/>
        </w:trPr>
        <w:tc>
          <w:tcPr>
            <w:tcW w:w="1820" w:type="dxa"/>
            <w:vAlign w:val="bottom"/>
          </w:tcPr>
          <w:p>
            <w:pPr>
              <w:jc w:val="center"/>
              <w:spacing w:after="0"/>
              <w:rPr>
                <w:sz w:val="20"/>
                <w:szCs w:val="20"/>
                <w:color w:val="auto"/>
              </w:rPr>
            </w:pPr>
            <w:r>
              <w:rPr>
                <w:rFonts w:ascii="Arial" w:cs="Arial" w:eastAsia="Arial" w:hAnsi="Arial"/>
                <w:sz w:val="18"/>
                <w:szCs w:val="18"/>
                <w:color w:val="auto"/>
                <w:w w:val="88"/>
              </w:rPr>
              <w:t>32.2#</w:t>
            </w:r>
          </w:p>
        </w:tc>
        <w:tc>
          <w:tcPr>
            <w:tcW w:w="100" w:type="dxa"/>
            <w:vAlign w:val="bottom"/>
          </w:tcPr>
          <w:p>
            <w:pPr>
              <w:spacing w:after="0"/>
              <w:rPr>
                <w:sz w:val="21"/>
                <w:szCs w:val="21"/>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0000FF"/>
                <w:w w:val="97"/>
              </w:rPr>
              <w:t>Certification of Principal Financial Officer pursuant to 18 U.S.C. Section 1350, as adopted pursuant to Section 906 of the</w:t>
            </w: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tcBorders>
              <w:top w:val="single" w:sz="8" w:color="0000FF"/>
            </w:tcBorders>
            <w:gridSpan w:val="24"/>
          </w:tcPr>
          <w:p>
            <w:pPr>
              <w:spacing w:after="0" w:line="196" w:lineRule="exact"/>
              <w:rPr>
                <w:sz w:val="20"/>
                <w:szCs w:val="20"/>
                <w:color w:val="auto"/>
              </w:rPr>
            </w:pPr>
            <w:r>
              <w:rPr>
                <w:rFonts w:ascii="Arial" w:cs="Arial" w:eastAsia="Arial" w:hAnsi="Arial"/>
                <w:sz w:val="18"/>
                <w:szCs w:val="18"/>
                <w:color w:val="0000FF"/>
              </w:rPr>
              <w:t>Sarbanes-Oxley Act of 2002.</w:t>
            </w:r>
          </w:p>
        </w:tc>
        <w:tc>
          <w:tcPr>
            <w:tcW w:w="580" w:type="dxa"/>
            <w:vAlign w:val="bottom"/>
            <w:gridSpan w:val="9"/>
          </w:tcPr>
          <w:p>
            <w:pPr>
              <w:spacing w:after="0"/>
              <w:rPr>
                <w:sz w:val="17"/>
                <w:szCs w:val="17"/>
                <w:color w:val="auto"/>
              </w:rPr>
            </w:pPr>
          </w:p>
        </w:tc>
      </w:tr>
      <w:tr>
        <w:trPr>
          <w:trHeight w:val="290"/>
        </w:trPr>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10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8"/>
              </w:rPr>
              <w:t>XBRL Instance Document.</w:t>
            </w:r>
          </w:p>
        </w:tc>
        <w:tc>
          <w:tcPr>
            <w:tcW w:w="7220" w:type="dxa"/>
            <w:vAlign w:val="bottom"/>
            <w:gridSpan w:val="32"/>
          </w:tcPr>
          <w:p>
            <w:pPr>
              <w:spacing w:after="0"/>
              <w:rPr>
                <w:sz w:val="24"/>
                <w:szCs w:val="24"/>
                <w:color w:val="auto"/>
              </w:rPr>
            </w:pPr>
          </w:p>
        </w:tc>
      </w:tr>
      <w:tr>
        <w:trPr>
          <w:trHeight w:val="270"/>
        </w:trPr>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101.SCHXBRL</w:t>
            </w:r>
          </w:p>
        </w:tc>
        <w:tc>
          <w:tcPr>
            <w:tcW w:w="9320" w:type="dxa"/>
            <w:vAlign w:val="bottom"/>
            <w:gridSpan w:val="33"/>
          </w:tcPr>
          <w:p>
            <w:pPr>
              <w:spacing w:after="0"/>
              <w:rPr>
                <w:sz w:val="20"/>
                <w:szCs w:val="20"/>
                <w:color w:val="auto"/>
              </w:rPr>
            </w:pPr>
            <w:r>
              <w:rPr>
                <w:rFonts w:ascii="Arial" w:cs="Arial" w:eastAsia="Arial" w:hAnsi="Arial"/>
                <w:sz w:val="18"/>
                <w:szCs w:val="18"/>
                <w:color w:val="auto"/>
              </w:rPr>
              <w:t>Taxonomy Extension Schema Document.</w:t>
            </w:r>
          </w:p>
        </w:tc>
      </w:tr>
      <w:tr>
        <w:trPr>
          <w:trHeight w:val="270"/>
        </w:trPr>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101.CAL XBRL</w:t>
            </w:r>
          </w:p>
        </w:tc>
        <w:tc>
          <w:tcPr>
            <w:tcW w:w="9320" w:type="dxa"/>
            <w:vAlign w:val="bottom"/>
            <w:gridSpan w:val="33"/>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270"/>
        </w:trPr>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101.DEF XBRL</w:t>
            </w:r>
          </w:p>
        </w:tc>
        <w:tc>
          <w:tcPr>
            <w:tcW w:w="9320" w:type="dxa"/>
            <w:vAlign w:val="bottom"/>
            <w:gridSpan w:val="33"/>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270"/>
        </w:trPr>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101.LAB XBRL</w:t>
            </w:r>
          </w:p>
        </w:tc>
        <w:tc>
          <w:tcPr>
            <w:tcW w:w="9320" w:type="dxa"/>
            <w:vAlign w:val="bottom"/>
            <w:gridSpan w:val="33"/>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270"/>
        </w:trPr>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101.PRE XBRL</w:t>
            </w:r>
          </w:p>
        </w:tc>
        <w:tc>
          <w:tcPr>
            <w:tcW w:w="9320" w:type="dxa"/>
            <w:vAlign w:val="bottom"/>
            <w:gridSpan w:val="33"/>
          </w:tcPr>
          <w:p>
            <w:pPr>
              <w:spacing w:after="0"/>
              <w:rPr>
                <w:sz w:val="20"/>
                <w:szCs w:val="20"/>
                <w:color w:val="auto"/>
              </w:rPr>
            </w:pPr>
            <w:r>
              <w:rPr>
                <w:rFonts w:ascii="Arial" w:cs="Arial" w:eastAsia="Arial" w:hAnsi="Arial"/>
                <w:sz w:val="18"/>
                <w:szCs w:val="18"/>
                <w:color w:val="auto"/>
              </w:rPr>
              <w:t>Taxonomy Extension Presentation Linkbase Document.</w:t>
            </w:r>
          </w:p>
        </w:tc>
      </w:tr>
      <w:tr>
        <w:trPr>
          <w:trHeight w:val="270"/>
        </w:trPr>
        <w:tc>
          <w:tcPr>
            <w:tcW w:w="18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3"/>
                <w:szCs w:val="23"/>
                <w:color w:val="auto"/>
              </w:rPr>
            </w:pPr>
          </w:p>
        </w:tc>
        <w:tc>
          <w:tcPr>
            <w:tcW w:w="9320" w:type="dxa"/>
            <w:vAlign w:val="bottom"/>
            <w:gridSpan w:val="33"/>
          </w:tcPr>
          <w:p>
            <w:pPr>
              <w:spacing w:after="0"/>
              <w:rPr>
                <w:sz w:val="20"/>
                <w:szCs w:val="20"/>
                <w:color w:val="auto"/>
              </w:rPr>
            </w:pPr>
            <w:r>
              <w:rPr>
                <w:rFonts w:ascii="Arial" w:cs="Arial" w:eastAsia="Arial" w:hAnsi="Arial"/>
                <w:sz w:val="18"/>
                <w:szCs w:val="18"/>
                <w:color w:val="auto"/>
              </w:rPr>
              <w:t>Cover Page Interactive Data File (formatted as Inline XBRL and included in Exhibit 101).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firstLine="8"/>
        <w:spacing w:after="0" w:line="260" w:lineRule="auto"/>
        <w:tabs>
          <w:tab w:leader="none" w:pos="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The Registrant has omitted portions of this Exhibit as permitted under Item 601(b)(1) of Regulation S-K.</w:t>
      </w:r>
    </w:p>
    <w:p>
      <w:pPr>
        <w:spacing w:after="0" w:line="239" w:lineRule="exact"/>
        <w:rPr>
          <w:sz w:val="20"/>
          <w:szCs w:val="20"/>
          <w:color w:val="auto"/>
        </w:rPr>
      </w:pPr>
    </w:p>
    <w:p>
      <w:pPr>
        <w:jc w:val="both"/>
        <w:ind w:firstLine="8"/>
        <w:spacing w:after="0" w:line="263" w:lineRule="auto"/>
        <w:tabs>
          <w:tab w:leader="none" w:pos="1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BuzzFeed, Inc.</w:t>
      </w:r>
    </w:p>
    <w:p>
      <w:pPr>
        <w:spacing w:after="0" w:line="333"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2575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1260" w:type="dxa"/>
            <w:vAlign w:val="bottom"/>
          </w:tcPr>
          <w:p>
            <w:pPr>
              <w:ind w:left="260"/>
              <w:spacing w:after="0"/>
              <w:rPr>
                <w:sz w:val="20"/>
                <w:szCs w:val="20"/>
                <w:color w:val="auto"/>
              </w:rPr>
            </w:pPr>
            <w:r>
              <w:rPr>
                <w:rFonts w:ascii="Arial" w:cs="Arial" w:eastAsia="Arial" w:hAnsi="Arial"/>
                <w:sz w:val="18"/>
                <w:szCs w:val="18"/>
                <w:color w:val="auto"/>
                <w:w w:val="89"/>
              </w:rPr>
              <w:t>May 10, 2023</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517" w:right="339" w:bottom="1440" w:gutter="0" w:footer="0" w:header="0"/>
        </w:sectPr>
      </w:pPr>
    </w:p>
    <w:bookmarkStart w:id="46" w:name="page47"/>
    <w:bookmarkEnd w:id="46"/>
    <w:p>
      <w:pPr>
        <w:spacing w:after="0" w:line="72" w:lineRule="exact"/>
        <w:rPr>
          <w:sz w:val="20"/>
          <w:szCs w:val="20"/>
          <w:color w:val="auto"/>
        </w:rPr>
      </w:pPr>
    </w:p>
    <w:p>
      <w:pPr>
        <w:ind w:left="10060"/>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BuzzFeed Adviser Agreement</w:t>
      </w:r>
    </w:p>
    <w:p>
      <w:pPr>
        <w:spacing w:after="0" w:line="219" w:lineRule="exact"/>
        <w:rPr>
          <w:sz w:val="20"/>
          <w:szCs w:val="20"/>
          <w:color w:val="auto"/>
        </w:rPr>
      </w:pPr>
    </w:p>
    <w:p>
      <w:pPr>
        <w:ind w:left="40" w:right="100"/>
        <w:spacing w:after="0" w:line="313"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effective as of December 31,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by BuzzFeed, Inc. (the "</w:t>
      </w:r>
      <w:r>
        <w:rPr>
          <w:rFonts w:ascii="Arial" w:cs="Arial" w:eastAsia="Arial" w:hAnsi="Arial"/>
          <w:sz w:val="18"/>
          <w:szCs w:val="18"/>
          <w:b w:val="1"/>
          <w:bCs w:val="1"/>
          <w:color w:val="auto"/>
        </w:rPr>
        <w:t>Company</w:t>
      </w:r>
      <w:r>
        <w:rPr>
          <w:rFonts w:ascii="Arial" w:cs="Arial" w:eastAsia="Arial" w:hAnsi="Arial"/>
          <w:sz w:val="18"/>
          <w:szCs w:val="18"/>
          <w:color w:val="auto"/>
        </w:rPr>
        <w:t>"), and Gregory Coleman (the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189" w:lineRule="exact"/>
        <w:rPr>
          <w:sz w:val="20"/>
          <w:szCs w:val="20"/>
          <w:color w:val="auto"/>
        </w:rPr>
      </w:pPr>
    </w:p>
    <w:p>
      <w:pPr>
        <w:ind w:left="40" w:right="460"/>
        <w:spacing w:after="0" w:line="31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obtain the advice, counsel and services of the Adviser at such times and to such extent as mutually decided by</w:t>
      </w:r>
      <w:r>
        <w:rPr>
          <w:rFonts w:ascii="Arial" w:cs="Arial" w:eastAsia="Arial" w:hAnsi="Arial"/>
          <w:sz w:val="18"/>
          <w:szCs w:val="18"/>
          <w:b w:val="1"/>
          <w:bCs w:val="1"/>
          <w:color w:val="auto"/>
        </w:rPr>
        <w:t xml:space="preserve"> </w:t>
      </w:r>
      <w:r>
        <w:rPr>
          <w:rFonts w:ascii="Arial" w:cs="Arial" w:eastAsia="Arial" w:hAnsi="Arial"/>
          <w:sz w:val="18"/>
          <w:szCs w:val="18"/>
          <w:color w:val="auto"/>
        </w:rPr>
        <w:t>Adviser and the Company’s Chief Executive Officer and/or the executive team;</w:t>
      </w:r>
    </w:p>
    <w:p>
      <w:pPr>
        <w:spacing w:after="0" w:line="189" w:lineRule="exact"/>
        <w:rPr>
          <w:sz w:val="20"/>
          <w:szCs w:val="20"/>
          <w:color w:val="auto"/>
        </w:rPr>
      </w:pPr>
    </w:p>
    <w:p>
      <w:pPr>
        <w:ind w:left="40" w:right="60"/>
        <w:spacing w:after="0" w:line="31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would like to engage the Adviser as an independent contractor to act as an adviser to the Company, and the Adviser is willing</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advice and services to the Company on the terms and conditions set forth in this Agreement;</w:t>
      </w:r>
    </w:p>
    <w:p>
      <w:pPr>
        <w:spacing w:after="0" w:line="176" w:lineRule="exact"/>
        <w:rPr>
          <w:sz w:val="20"/>
          <w:szCs w:val="20"/>
          <w:color w:val="auto"/>
        </w:rPr>
      </w:pPr>
    </w:p>
    <w:p>
      <w:pPr>
        <w:ind w:right="360"/>
        <w:spacing w:after="0" w:line="31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services provided hereunder by the Adviser are independent of and distinct from his duties as a member of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w:t>
      </w:r>
    </w:p>
    <w:p>
      <w:pPr>
        <w:spacing w:after="0" w:line="193" w:lineRule="exact"/>
        <w:rPr>
          <w:sz w:val="20"/>
          <w:szCs w:val="20"/>
          <w:color w:val="auto"/>
        </w:rPr>
      </w:pPr>
    </w:p>
    <w:p>
      <w:pPr>
        <w:ind w:right="680"/>
        <w:spacing w:after="0" w:line="308" w:lineRule="auto"/>
        <w:rPr>
          <w:sz w:val="20"/>
          <w:szCs w:val="20"/>
          <w:color w:val="auto"/>
        </w:rPr>
      </w:pPr>
      <w:r>
        <w:rPr>
          <w:rFonts w:ascii="Arial" w:cs="Arial" w:eastAsia="Arial" w:hAnsi="Arial"/>
          <w:sz w:val="18"/>
          <w:szCs w:val="18"/>
          <w:color w:val="auto"/>
        </w:rPr>
        <w:t>WHEREAS, the Adviser is compensated in accordance with the Non-Employee Director Compensation Policy for his service as a Director of the Company r;</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is hereby acknowledged, the parties agree as follows:</w:t>
      </w:r>
    </w:p>
    <w:p>
      <w:pPr>
        <w:spacing w:after="0" w:line="275" w:lineRule="exact"/>
        <w:rPr>
          <w:sz w:val="20"/>
          <w:szCs w:val="20"/>
          <w:color w:val="auto"/>
        </w:rPr>
      </w:pPr>
    </w:p>
    <w:p>
      <w:pPr>
        <w:ind w:right="20" w:firstLine="9"/>
        <w:spacing w:after="0" w:line="254" w:lineRule="auto"/>
        <w:tabs>
          <w:tab w:leader="none" w:pos="567"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an Adviser.</w:t>
      </w:r>
      <w:r>
        <w:rPr>
          <w:rFonts w:ascii="Arial" w:cs="Arial" w:eastAsia="Arial" w:hAnsi="Arial"/>
          <w:sz w:val="18"/>
          <w:szCs w:val="18"/>
          <w:b w:val="1"/>
          <w:bCs w:val="1"/>
          <w:color w:val="auto"/>
        </w:rPr>
        <w:t xml:space="preserve"> </w:t>
      </w:r>
      <w:r>
        <w:rPr>
          <w:rFonts w:ascii="Arial" w:cs="Arial" w:eastAsia="Arial" w:hAnsi="Arial"/>
          <w:sz w:val="18"/>
          <w:szCs w:val="18"/>
          <w:color w:val="auto"/>
        </w:rPr>
        <w:t>The Adviser shall serve as an adviser to the Company on a non-exclusive basis for the term of this Agreement. Adviser’s</w:t>
      </w:r>
      <w:r>
        <w:rPr>
          <w:rFonts w:ascii="Arial" w:cs="Arial" w:eastAsia="Arial" w:hAnsi="Arial"/>
          <w:sz w:val="18"/>
          <w:szCs w:val="18"/>
          <w:b w:val="1"/>
          <w:bCs w:val="1"/>
          <w:color w:val="auto"/>
        </w:rPr>
        <w:t xml:space="preserve"> </w:t>
      </w:r>
      <w:r>
        <w:rPr>
          <w:rFonts w:ascii="Arial" w:cs="Arial" w:eastAsia="Arial" w:hAnsi="Arial"/>
          <w:sz w:val="18"/>
          <w:szCs w:val="18"/>
          <w:color w:val="auto"/>
        </w:rPr>
        <w:t>title shall be “Adviser.” The Adviser shall perform the services hereunder as an independent contractor and not as an employee, agent, joint venturer or partner of the Company. The Adviser shall have no power or authority to act for, represent or bind the Company or its affiliates in any manner whatsoever, except as may be expressly agreed on each occasion, in writing, by the Company. The Adviser agrees to take no action that expresses or implies that the Adviser has such power or authority.</w:t>
      </w:r>
    </w:p>
    <w:p>
      <w:pPr>
        <w:spacing w:after="0" w:line="227" w:lineRule="exact"/>
        <w:rPr>
          <w:rFonts w:ascii="Arial" w:cs="Arial" w:eastAsia="Arial" w:hAnsi="Arial"/>
          <w:sz w:val="18"/>
          <w:szCs w:val="18"/>
          <w:color w:val="auto"/>
        </w:rPr>
      </w:pPr>
    </w:p>
    <w:p>
      <w:pPr>
        <w:ind w:left="40" w:right="40" w:hanging="4"/>
        <w:spacing w:after="0" w:line="324" w:lineRule="auto"/>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the Adviser will support the Company advertising sales and revenue activities by providing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Chief Revenue Officer, Chief Operating Officer and, as designated by the Company, additional senior management members within the UBO (Unified Business Organization) (collectively, the “Sales and Revenue Team”). Upon request during the term, Adviser shall attend meetings and consult with and advise the Sales and Revenue Team in furthering the Company’s interests. The services to be performed by Adviser as described in this Agreement are hereinafter referred to as the “Services” and are separate and distinct from the services he provides as a Director of the Company.</w:t>
      </w:r>
    </w:p>
    <w:p>
      <w:pPr>
        <w:spacing w:after="0" w:line="189" w:lineRule="exact"/>
        <w:rPr>
          <w:rFonts w:ascii="Arial" w:cs="Arial" w:eastAsia="Arial" w:hAnsi="Arial"/>
          <w:sz w:val="16"/>
          <w:szCs w:val="16"/>
          <w:color w:val="auto"/>
        </w:rPr>
      </w:pPr>
    </w:p>
    <w:p>
      <w:pPr>
        <w:ind w:left="40" w:right="40" w:hanging="4"/>
        <w:spacing w:after="0" w:line="322" w:lineRule="auto"/>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Services shall commence on or about December 31, and shall continue through December 31, 2023 (the “</w:t>
      </w:r>
      <w:r>
        <w:rPr>
          <w:rFonts w:ascii="Arial" w:cs="Arial" w:eastAsia="Arial" w:hAnsi="Arial"/>
          <w:sz w:val="16"/>
          <w:szCs w:val="16"/>
          <w:b w:val="1"/>
          <w:bCs w:val="1"/>
          <w:color w:val="auto"/>
        </w:rPr>
        <w:t>Expiration Date</w:t>
      </w:r>
      <w:r>
        <w:rPr>
          <w:rFonts w:ascii="Arial" w:cs="Arial" w:eastAsia="Arial" w:hAnsi="Arial"/>
          <w:sz w:val="16"/>
          <w:szCs w:val="16"/>
          <w:color w:val="auto"/>
        </w:rPr>
        <w:t>”),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either party may terminate this Agreement at any time upon thirty (30) days written notice to the other. Notwithstanding any termination of this Agreement by the Company (other than for Cause (defined below)), the Company’s obligations under Section 4.1 of this Agreement shall survive. Section 4.2, Section 6, Section 7 and Section 8 shall survive the termination of this Agreement by either party, and/or the expiration of this Agreement. As used herein, “Cause” means (a) Adviser’s unauthorized use or disclosure of the Company’s Proprietary Information (including, without limitation, breach of Section 7 of this Agreement) and/or (b) Adviser’s non-performance of his duties hereunder subject to the Company providing prior written notice thereof to the Adviser and Adviser’s failure to cure such non-performance within 10 days of receipt of such notice.</w:t>
      </w:r>
    </w:p>
    <w:p>
      <w:pPr>
        <w:spacing w:after="0" w:line="162" w:lineRule="exact"/>
        <w:rPr>
          <w:rFonts w:ascii="Arial" w:cs="Arial" w:eastAsia="Arial" w:hAnsi="Arial"/>
          <w:sz w:val="16"/>
          <w:szCs w:val="16"/>
          <w:color w:val="auto"/>
        </w:rPr>
      </w:pPr>
    </w:p>
    <w:p>
      <w:pPr>
        <w:ind w:left="440" w:hanging="405"/>
        <w:spacing w:after="0"/>
        <w:tabs>
          <w:tab w:leader="none" w:pos="440"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p>
    <w:p>
      <w:pPr>
        <w:spacing w:after="0" w:line="33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and Adviser agree to and acknowledge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160"/>
          </w:cols>
          <w:pgMar w:left="400" w:top="1440" w:right="339" w:bottom="1440" w:gutter="0" w:footer="0" w:header="0"/>
        </w:sectPr>
      </w:pPr>
    </w:p>
    <w:bookmarkStart w:id="47" w:name="page48"/>
    <w:bookmarkEnd w:id="47"/>
    <w:p>
      <w:pPr>
        <w:ind w:left="1220" w:right="80" w:hanging="647"/>
        <w:spacing w:after="0" w:line="297" w:lineRule="auto"/>
        <w:tabs>
          <w:tab w:leader="none" w:pos="12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Private company BuzzFeed, Inc. (“Legacy BuzzFeed”) granted Adviser an option to purchase 246,440 split adjusted shares of its Common Stock (the “</w:t>
      </w:r>
      <w:r>
        <w:rPr>
          <w:rFonts w:ascii="Arial" w:cs="Arial" w:eastAsia="Arial" w:hAnsi="Arial"/>
          <w:sz w:val="17"/>
          <w:szCs w:val="17"/>
          <w:u w:val="single" w:color="auto"/>
          <w:color w:val="auto"/>
        </w:rPr>
        <w:t>First Option</w:t>
      </w:r>
      <w:r>
        <w:rPr>
          <w:rFonts w:ascii="Arial" w:cs="Arial" w:eastAsia="Arial" w:hAnsi="Arial"/>
          <w:sz w:val="17"/>
          <w:szCs w:val="17"/>
          <w:color w:val="auto"/>
        </w:rPr>
        <w:t>”), pursuant to a Notice of Stock Option Grant and Stock Option Grant Agreement between Adviser and the Company dated as of August 7, 2014 (the “</w:t>
      </w:r>
      <w:r>
        <w:rPr>
          <w:rFonts w:ascii="Arial" w:cs="Arial" w:eastAsia="Arial" w:hAnsi="Arial"/>
          <w:sz w:val="17"/>
          <w:szCs w:val="17"/>
          <w:u w:val="single" w:color="auto"/>
          <w:color w:val="auto"/>
        </w:rPr>
        <w:t>First Option Agreement</w:t>
      </w:r>
      <w:r>
        <w:rPr>
          <w:rFonts w:ascii="Arial" w:cs="Arial" w:eastAsia="Arial" w:hAnsi="Arial"/>
          <w:sz w:val="17"/>
          <w:szCs w:val="17"/>
          <w:color w:val="auto"/>
        </w:rPr>
        <w:t>”) and an option to purchase 7,193,560 split-adjusted shares of its Common Stock pursuant to a Notice of Stock Option Grant and Stock Option Grant Agreement between Adviser and the Company dated as of August 7, 2014 (the “</w:t>
      </w:r>
      <w:r>
        <w:rPr>
          <w:rFonts w:ascii="Arial" w:cs="Arial" w:eastAsia="Arial" w:hAnsi="Arial"/>
          <w:sz w:val="17"/>
          <w:szCs w:val="17"/>
          <w:u w:val="single" w:color="auto"/>
          <w:color w:val="auto"/>
        </w:rPr>
        <w:t>Second Option</w:t>
      </w:r>
      <w:r>
        <w:rPr>
          <w:rFonts w:ascii="Arial" w:cs="Arial" w:eastAsia="Arial" w:hAnsi="Arial"/>
          <w:sz w:val="17"/>
          <w:szCs w:val="17"/>
          <w:color w:val="auto"/>
        </w:rPr>
        <w:t>” and, together with the First Option, the “</w:t>
      </w:r>
      <w:r>
        <w:rPr>
          <w:rFonts w:ascii="Arial" w:cs="Arial" w:eastAsia="Arial" w:hAnsi="Arial"/>
          <w:sz w:val="17"/>
          <w:szCs w:val="17"/>
          <w:u w:val="single" w:color="auto"/>
          <w:color w:val="auto"/>
        </w:rPr>
        <w:t>Options</w:t>
      </w:r>
      <w:r>
        <w:rPr>
          <w:rFonts w:ascii="Arial" w:cs="Arial" w:eastAsia="Arial" w:hAnsi="Arial"/>
          <w:sz w:val="17"/>
          <w:szCs w:val="17"/>
          <w:color w:val="auto"/>
        </w:rPr>
        <w:t>”), pursuant to a Notice of Stock Option Grant and Stock Option Grant Agreement between Adviser and the Company dated as of August 7, 2014 (the “</w:t>
      </w:r>
      <w:r>
        <w:rPr>
          <w:rFonts w:ascii="Arial" w:cs="Arial" w:eastAsia="Arial" w:hAnsi="Arial"/>
          <w:sz w:val="17"/>
          <w:szCs w:val="17"/>
          <w:u w:val="single" w:color="auto"/>
          <w:color w:val="auto"/>
        </w:rPr>
        <w:t>Second Option Agreement</w:t>
      </w:r>
      <w:r>
        <w:rPr>
          <w:rFonts w:ascii="Arial" w:cs="Arial" w:eastAsia="Arial" w:hAnsi="Arial"/>
          <w:sz w:val="17"/>
          <w:szCs w:val="17"/>
          <w:color w:val="auto"/>
        </w:rPr>
        <w:t>” and, together with the First Option Agreement, the “</w:t>
      </w:r>
      <w:r>
        <w:rPr>
          <w:rFonts w:ascii="Arial" w:cs="Arial" w:eastAsia="Arial" w:hAnsi="Arial"/>
          <w:sz w:val="17"/>
          <w:szCs w:val="17"/>
          <w:u w:val="single" w:color="auto"/>
          <w:color w:val="auto"/>
        </w:rPr>
        <w:t>Option Agreements</w:t>
      </w:r>
      <w:r>
        <w:rPr>
          <w:rFonts w:ascii="Arial" w:cs="Arial" w:eastAsia="Arial" w:hAnsi="Arial"/>
          <w:sz w:val="17"/>
          <w:szCs w:val="17"/>
          <w:color w:val="auto"/>
        </w:rPr>
        <w:t>”). Pursuant to the terms of the Option Agreements, upon a cessation of Adviser’s continuous service to the Company, the Options were to expire immediately to the extent then unvested, and 3 months after Adviser’s termination of employment as to Options that were then vested.</w:t>
      </w:r>
    </w:p>
    <w:p>
      <w:pPr>
        <w:spacing w:after="0" w:line="38" w:lineRule="exact"/>
        <w:rPr>
          <w:sz w:val="20"/>
          <w:szCs w:val="20"/>
          <w:color w:val="auto"/>
        </w:rPr>
      </w:pPr>
    </w:p>
    <w:p>
      <w:pPr>
        <w:ind w:left="1220" w:right="20" w:hanging="647"/>
        <w:spacing w:after="0" w:line="295" w:lineRule="auto"/>
        <w:tabs>
          <w:tab w:leader="none" w:pos="1200" w:val="left"/>
        </w:tabs>
        <w:rPr>
          <w:sz w:val="20"/>
          <w:szCs w:val="20"/>
          <w:color w:val="auto"/>
        </w:rPr>
      </w:pPr>
      <w:r>
        <w:rPr>
          <w:rFonts w:ascii="Arial" w:cs="Arial" w:eastAsia="Arial" w:hAnsi="Arial"/>
          <w:sz w:val="18"/>
          <w:szCs w:val="18"/>
          <w:color w:val="auto"/>
        </w:rPr>
        <w:t>4.1.2.</w:t>
        <w:tab/>
        <w:t>Adviser’s employment with Legacy BuzzFeed terminated on April 1, 2018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As of the Termination Date, Adviser was vested in 220,768 of the Options subject to the First Option Agreement and 6,444,230 of the Options subject to the Second Option Agreement.</w:t>
      </w:r>
    </w:p>
    <w:p>
      <w:pPr>
        <w:spacing w:after="0" w:line="33" w:lineRule="exact"/>
        <w:rPr>
          <w:sz w:val="20"/>
          <w:szCs w:val="20"/>
          <w:color w:val="auto"/>
        </w:rPr>
      </w:pPr>
    </w:p>
    <w:p>
      <w:pPr>
        <w:ind w:left="1220" w:right="120" w:hanging="647"/>
        <w:spacing w:after="0" w:line="300" w:lineRule="auto"/>
        <w:tabs>
          <w:tab w:leader="none" w:pos="12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7"/>
          <w:szCs w:val="17"/>
          <w:color w:val="auto"/>
        </w:rPr>
        <w:t>Adviser early exercised all of the Options subject to the First Option Agreement on July 15, 2015, January 11, 2016 and January 27, 2017, such that the total number of exercised Options exceeded the number of vested Option subject to the First Option Agreement by 25,671. The shares issued pursuant to exercise of such unvested Options were subject to Legacy BuzzFeed’s right of repurchase, as further described in the First Option Agreement. Adviser also early exercised 1,232,286 Options subject to the Second Option Agreement on July 15, 2015 such that, as of the Termination Date, the number of vested shares subject to the Second Option was 5,211,944 (the “</w:t>
      </w:r>
      <w:r>
        <w:rPr>
          <w:rFonts w:ascii="Arial" w:cs="Arial" w:eastAsia="Arial" w:hAnsi="Arial"/>
          <w:sz w:val="17"/>
          <w:szCs w:val="17"/>
          <w:u w:val="single" w:color="auto"/>
          <w:color w:val="auto"/>
        </w:rPr>
        <w:t>Extension Options</w:t>
      </w:r>
      <w:r>
        <w:rPr>
          <w:rFonts w:ascii="Arial" w:cs="Arial" w:eastAsia="Arial" w:hAnsi="Arial"/>
          <w:sz w:val="17"/>
          <w:szCs w:val="17"/>
          <w:color w:val="auto"/>
        </w:rPr>
        <w:t>”).</w:t>
      </w:r>
    </w:p>
    <w:p>
      <w:pPr>
        <w:spacing w:after="0" w:line="46" w:lineRule="exact"/>
        <w:rPr>
          <w:sz w:val="20"/>
          <w:szCs w:val="20"/>
          <w:color w:val="auto"/>
        </w:rPr>
      </w:pPr>
    </w:p>
    <w:p>
      <w:pPr>
        <w:ind w:left="1220" w:right="200" w:hanging="647"/>
        <w:spacing w:after="0" w:line="331" w:lineRule="auto"/>
        <w:tabs>
          <w:tab w:leader="none" w:pos="12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 xml:space="preserve">On February 5, 2018, in consideration of Adviser’s service to Legacy BuzzFeed, Legacy BuzzFeed agreed to extend the post-termination exercise period applicable to the Extension Options as of the Termination Date until December 21, 2020;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in no event would any of the Extension Options be extended beyond the ten year anniversary of the applicable grant date of such Options and, (ii) Options that were unvested as of the Termination Date never vested (and will never vest).</w:t>
      </w:r>
    </w:p>
    <w:p>
      <w:pPr>
        <w:spacing w:after="0" w:line="25" w:lineRule="exact"/>
        <w:rPr>
          <w:sz w:val="20"/>
          <w:szCs w:val="20"/>
          <w:color w:val="auto"/>
        </w:rPr>
      </w:pPr>
    </w:p>
    <w:p>
      <w:pPr>
        <w:ind w:left="1220" w:right="440" w:hanging="647"/>
        <w:spacing w:after="0" w:line="359" w:lineRule="auto"/>
        <w:tabs>
          <w:tab w:leader="none" w:pos="12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On December 16, 2020, Legacy BuzzFeed further extended the post-termination exercise period applicable to the Extension Options as of the Termination Date until December 31, 2021, subject to the same proviso indicated in paragraph 4.1.4.</w:t>
      </w:r>
    </w:p>
    <w:p>
      <w:pPr>
        <w:spacing w:after="0" w:line="3" w:lineRule="exact"/>
        <w:rPr>
          <w:sz w:val="20"/>
          <w:szCs w:val="20"/>
          <w:color w:val="auto"/>
        </w:rPr>
      </w:pPr>
    </w:p>
    <w:p>
      <w:pPr>
        <w:ind w:left="1220" w:right="420" w:hanging="647"/>
        <w:spacing w:after="0" w:line="359" w:lineRule="auto"/>
        <w:tabs>
          <w:tab w:leader="none" w:pos="12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On November 19, 2021, Legacy BuzzFeed further extended the post-termination exercise period applicable to the Extension Options as of the Termination Date until December 31, 2022, subject to the same proviso indicated in paragraph 4.1.4.</w:t>
      </w:r>
    </w:p>
    <w:p>
      <w:pPr>
        <w:spacing w:after="0" w:line="165"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4.2 Legacy BuzzFeed and 890 Fifth Avenue Partners (“890”) merged on December 3, 2021 in a two-step merger, with 890, a public company, as the survivor (the “Merger”). Immediately thereafter, 890 was renamed BuzzFeed, Inc. As a consequence of the Merger, the Extension Options were exchanged for options to purchase 1,594,854 Class A shares of the Company (“Public Company Options” and the related agreements, the “Public Company Option Agreements”).</w:t>
      </w:r>
    </w:p>
    <w:p>
      <w:pPr>
        <w:spacing w:after="0" w:line="2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4.3 As the sole compensation to Adviser for the Services provided pursuant to this Agreement, subject to requisite Compensation Committee approval (at a regularly scheduled meeting of the Compensation Committee or as otherwise permitted by the governing documents of the Company), the Company will</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580"/>
          </w:cols>
          <w:pgMar w:left="980" w:top="1421" w:right="339" w:bottom="1440" w:gutter="0" w:footer="0" w:header="0"/>
        </w:sectPr>
      </w:pPr>
    </w:p>
    <w:bookmarkStart w:id="48" w:name="page49"/>
    <w:bookmarkEnd w:id="48"/>
    <w:p>
      <w:pPr>
        <w:ind w:left="545" w:right="160"/>
        <w:spacing w:after="0" w:line="304" w:lineRule="auto"/>
        <w:rPr>
          <w:sz w:val="20"/>
          <w:szCs w:val="20"/>
          <w:color w:val="auto"/>
        </w:rPr>
      </w:pPr>
      <w:r>
        <w:rPr>
          <w:rFonts w:ascii="Arial" w:cs="Arial" w:eastAsia="Arial" w:hAnsi="Arial"/>
          <w:sz w:val="17"/>
          <w:szCs w:val="17"/>
          <w:color w:val="auto"/>
        </w:rPr>
        <w:t>extend the post-termination exercise period applicable to the Public Company Options until the three (3) month anniversary following expiration or earlier termination of this Agreement. Notwithstanding the foregoing, Adviser acknowledges that (i) in no event will any of the Public Company Options be extended beyond the ten-year anniversary of the applicable grant date of the Extension Options, (ii) Options that were unvested as of the Termination Date never vested (and will never vest). Adviser and Company acknowledge and agree that the compensation described in this paragraph 4.3 constitutes sufficient and full consideration for the Services to be provided hereunder.</w:t>
      </w:r>
    </w:p>
    <w:p>
      <w:pPr>
        <w:spacing w:after="0" w:line="207" w:lineRule="exact"/>
        <w:rPr>
          <w:sz w:val="20"/>
          <w:szCs w:val="20"/>
          <w:color w:val="auto"/>
        </w:rPr>
      </w:pPr>
    </w:p>
    <w:p>
      <w:pPr>
        <w:ind w:left="545" w:right="560"/>
        <w:spacing w:after="0" w:line="308" w:lineRule="auto"/>
        <w:rPr>
          <w:sz w:val="20"/>
          <w:szCs w:val="20"/>
          <w:color w:val="auto"/>
        </w:rPr>
      </w:pPr>
      <w:r>
        <w:rPr>
          <w:rFonts w:ascii="Arial" w:cs="Arial" w:eastAsia="Arial" w:hAnsi="Arial"/>
          <w:sz w:val="18"/>
          <w:szCs w:val="18"/>
          <w:color w:val="auto"/>
        </w:rPr>
        <w:t>4.4 Adviser acknowledges, understands and agrees that the Public Company Options do not qualify as an incentive stock option under Section 422 of the Internal Revenue Code of 1986, as amended.</w:t>
      </w:r>
    </w:p>
    <w:p>
      <w:pPr>
        <w:spacing w:after="0" w:line="184" w:lineRule="exact"/>
        <w:rPr>
          <w:sz w:val="20"/>
          <w:szCs w:val="20"/>
          <w:color w:val="auto"/>
        </w:rPr>
      </w:pPr>
    </w:p>
    <w:p>
      <w:pPr>
        <w:ind w:left="545" w:right="180"/>
        <w:spacing w:after="0" w:line="308" w:lineRule="auto"/>
        <w:rPr>
          <w:sz w:val="20"/>
          <w:szCs w:val="20"/>
          <w:color w:val="auto"/>
        </w:rPr>
      </w:pPr>
      <w:r>
        <w:rPr>
          <w:rFonts w:ascii="Arial" w:cs="Arial" w:eastAsia="Arial" w:hAnsi="Arial"/>
          <w:sz w:val="18"/>
          <w:szCs w:val="18"/>
          <w:color w:val="auto"/>
        </w:rPr>
        <w:t>4.5 Except as described herein, the Public Company Option Agreements between Adviser and the Company remain in full force and effect, and Adviser shall remain bound by each such Public Company Option Agreement.</w:t>
      </w:r>
    </w:p>
    <w:p>
      <w:pPr>
        <w:spacing w:after="0" w:line="198" w:lineRule="exact"/>
        <w:rPr>
          <w:sz w:val="20"/>
          <w:szCs w:val="20"/>
          <w:color w:val="auto"/>
        </w:rPr>
      </w:pPr>
    </w:p>
    <w:p>
      <w:pPr>
        <w:ind w:left="545" w:right="20"/>
        <w:spacing w:after="0" w:line="287" w:lineRule="auto"/>
        <w:rPr>
          <w:sz w:val="20"/>
          <w:szCs w:val="20"/>
          <w:color w:val="auto"/>
        </w:rPr>
      </w:pPr>
      <w:r>
        <w:rPr>
          <w:rFonts w:ascii="Arial" w:cs="Arial" w:eastAsia="Arial" w:hAnsi="Arial"/>
          <w:sz w:val="18"/>
          <w:szCs w:val="18"/>
          <w:color w:val="auto"/>
        </w:rPr>
        <w:t>4.6 Adviser agrees to pay, and to hold the Company harmless with respect to, all federal, state and local taxes applicable to any compensation paid to the Adviser pursuant to this Agreement. The terms and provisions of this Section 4.6 shall survive termination or expiration of this Agreement.</w:t>
      </w:r>
    </w:p>
    <w:p>
      <w:pPr>
        <w:spacing w:after="0" w:line="212" w:lineRule="exact"/>
        <w:rPr>
          <w:sz w:val="20"/>
          <w:szCs w:val="20"/>
          <w:color w:val="auto"/>
        </w:rPr>
      </w:pPr>
    </w:p>
    <w:p>
      <w:pPr>
        <w:ind w:left="5" w:right="240" w:hanging="5"/>
        <w:spacing w:after="0" w:line="287" w:lineRule="auto"/>
        <w:tabs>
          <w:tab w:leader="none" w:pos="545"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reimburse Adviser promptly for reasonable, documented, out- of-pocket expenses incurred solely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Adviser's performance of the Services; provided that Adviser shall not incur any expense in excess of USD $1000.00 without the prior written approval of the Company. Adviser shall incur any expenses and provide appropriate written documentation of all expenses in accordance with Company’s Travel and Expense policy.</w:t>
      </w:r>
    </w:p>
    <w:p>
      <w:pPr>
        <w:spacing w:after="0" w:line="211" w:lineRule="exact"/>
        <w:rPr>
          <w:rFonts w:ascii="Arial" w:cs="Arial" w:eastAsia="Arial" w:hAnsi="Arial"/>
          <w:sz w:val="18"/>
          <w:szCs w:val="18"/>
          <w:color w:val="auto"/>
        </w:rPr>
      </w:pPr>
    </w:p>
    <w:p>
      <w:pPr>
        <w:ind w:left="5" w:right="20" w:hanging="5"/>
        <w:spacing w:after="0" w:line="321" w:lineRule="auto"/>
        <w:tabs>
          <w:tab w:leader="none" w:pos="545"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performance of Services under this Agreement, the Adviser is obligated to act only in good faith, and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for errors in judgment that are not the result of gross negligence (i.e. recklessness), willful misconduct or knowingly unlawful acts. The Company agrees to indemnify and hold the Adviser harmless from and against any and all losses, claims, expenses, damages or liabilities, joint or several, to which the Adviser may become subject (including the costs of any investigation and all reasonable attorneys' fees and costs) or incurred by the Adviser, to the fullest extent lawful, in connection with any pending or threatened litigation, legal claim or proceeding arising out of or in connection with the Services rendered by the Adviser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shall not apply to any such losses, claims, related expenses, damages or liabilities arising out of or in connection with the Adviser's gross negligence, willful misconduct, fraud, or material breach this Agreement. The terms and provisions of this Section 6 shall survive termination or expiration of this Agreement.</w:t>
      </w:r>
    </w:p>
    <w:p>
      <w:pPr>
        <w:spacing w:after="0" w:line="191" w:lineRule="exact"/>
        <w:rPr>
          <w:rFonts w:ascii="Arial" w:cs="Arial" w:eastAsia="Arial" w:hAnsi="Arial"/>
          <w:sz w:val="16"/>
          <w:szCs w:val="16"/>
          <w:color w:val="auto"/>
        </w:rPr>
      </w:pPr>
    </w:p>
    <w:p>
      <w:pPr>
        <w:ind w:left="545" w:hanging="544"/>
        <w:spacing w:after="0"/>
        <w:tabs>
          <w:tab w:leader="none" w:pos="545"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Information</w:t>
      </w:r>
      <w:r>
        <w:rPr>
          <w:rFonts w:ascii="Arial" w:cs="Arial" w:eastAsia="Arial" w:hAnsi="Arial"/>
          <w:sz w:val="18"/>
          <w:szCs w:val="18"/>
          <w:b w:val="1"/>
          <w:bCs w:val="1"/>
          <w:color w:val="auto"/>
        </w:rPr>
        <w:t>.</w:t>
      </w:r>
    </w:p>
    <w:p>
      <w:pPr>
        <w:spacing w:after="0" w:line="283" w:lineRule="exact"/>
        <w:rPr>
          <w:rFonts w:ascii="Arial" w:cs="Arial" w:eastAsia="Arial" w:hAnsi="Arial"/>
          <w:sz w:val="18"/>
          <w:szCs w:val="18"/>
          <w:color w:val="auto"/>
        </w:rPr>
      </w:pPr>
    </w:p>
    <w:p>
      <w:pPr>
        <w:ind w:left="545" w:right="20"/>
        <w:spacing w:after="0" w:line="281" w:lineRule="auto"/>
        <w:rPr>
          <w:rFonts w:ascii="Arial" w:cs="Arial" w:eastAsia="Arial" w:hAnsi="Arial"/>
          <w:sz w:val="18"/>
          <w:szCs w:val="18"/>
          <w:color w:val="auto"/>
        </w:rPr>
      </w:pPr>
      <w:r>
        <w:rPr>
          <w:rFonts w:ascii="Arial" w:cs="Arial" w:eastAsia="Arial" w:hAnsi="Arial"/>
          <w:sz w:val="18"/>
          <w:szCs w:val="18"/>
          <w:color w:val="auto"/>
        </w:rPr>
        <w:t>7.1 For purposes hereof, the term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shall be given its broadest possible interpretation, and shall mean and include, without limitation, all nonpublic information pertaining to with whom or how the Company, its affiliates and/or business partners conduct business. Examples of such information include, but are not limited to: (i) information related to existing or potential projects, such as research, development, stories, sources, scripts, plots, story lines, treatments; (ii) information related to Inventions (as defined below), technical information, intellectual property, trade secrets, know-how, formulas or specifications; (iii) information related to finances, business plans, operations, purchasing, marketing, sales, negotiations, contract terms, legal disputes, personnel (including information regarding special skills and compensation), budgets or costs; (iv) non-public papers, data, records, memoranda, methods, works of authorship, compilations, or documents; (v) information disclosed in private meetings or events; and (vi) any other confidential information, written, oral or electronic, whether existing now or at</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125"/>
          </w:cols>
          <w:pgMar w:left="435" w:top="1340" w:right="339" w:bottom="1440" w:gutter="0" w:footer="0" w:header="0"/>
        </w:sectPr>
      </w:pPr>
    </w:p>
    <w:bookmarkStart w:id="49" w:name="page50"/>
    <w:bookmarkEnd w:id="49"/>
    <w:p>
      <w:pPr>
        <w:ind w:left="580" w:right="160"/>
        <w:spacing w:after="0" w:line="308" w:lineRule="auto"/>
        <w:rPr>
          <w:sz w:val="20"/>
          <w:szCs w:val="20"/>
          <w:color w:val="auto"/>
        </w:rPr>
      </w:pPr>
      <w:r>
        <w:rPr>
          <w:rFonts w:ascii="Arial" w:cs="Arial" w:eastAsia="Arial" w:hAnsi="Arial"/>
          <w:sz w:val="18"/>
          <w:szCs w:val="18"/>
          <w:color w:val="auto"/>
        </w:rPr>
        <w:t>some time in the future, which Adviser develops, learns or obtains during the provision of Services or that are received by or for the Company in confidence.</w:t>
      </w:r>
    </w:p>
    <w:p>
      <w:pPr>
        <w:spacing w:after="0" w:line="198" w:lineRule="exact"/>
        <w:rPr>
          <w:sz w:val="20"/>
          <w:szCs w:val="20"/>
          <w:color w:val="auto"/>
        </w:rPr>
      </w:pPr>
    </w:p>
    <w:p>
      <w:pPr>
        <w:ind w:left="580" w:right="20"/>
        <w:spacing w:after="0" w:line="279" w:lineRule="auto"/>
        <w:rPr>
          <w:sz w:val="20"/>
          <w:szCs w:val="20"/>
          <w:color w:val="auto"/>
        </w:rPr>
      </w:pPr>
      <w:r>
        <w:rPr>
          <w:rFonts w:ascii="Arial" w:cs="Arial" w:eastAsia="Arial" w:hAnsi="Arial"/>
          <w:sz w:val="18"/>
          <w:szCs w:val="18"/>
          <w:color w:val="auto"/>
        </w:rPr>
        <w:t>7.2 Adviser will hold in strict confidence and not disclose or, except as expressly authorized by an appropriate officer of the Company within the scope of the Services, use, any Proprietary Information, and will not provide such Proprietary Information to anyone outside of the Company except as authorized by the Company and after execution of a confidentiality agreement by the third party with whom Proprietary Information will be shared. Adviser agrees not to copy any documents, records, files, media, or other resources containing any Proprietary Information, or to remove any such documents, records, files, media, or other resources from the premises or control of the Company. Adviser understands and acknowledges that his obligations under this Agreement regarding any particular Proprietary Information begin from the time Adviser receives Proprietary Information, regardless of whether Adviser received such content prior to provision of Services hereunder, and shall continue during and after the Services are completed until the Proprietary Information has become public knowledge other than as a result of an unauthorized disclosure.</w:t>
      </w:r>
    </w:p>
    <w:p>
      <w:pPr>
        <w:spacing w:after="0" w:line="224" w:lineRule="exact"/>
        <w:rPr>
          <w:sz w:val="20"/>
          <w:szCs w:val="20"/>
          <w:color w:val="auto"/>
        </w:rPr>
      </w:pPr>
    </w:p>
    <w:p>
      <w:pPr>
        <w:ind w:left="580" w:right="40"/>
        <w:spacing w:after="0" w:line="347" w:lineRule="auto"/>
        <w:rPr>
          <w:sz w:val="20"/>
          <w:szCs w:val="20"/>
          <w:color w:val="auto"/>
        </w:rPr>
      </w:pPr>
      <w:r>
        <w:rPr>
          <w:rFonts w:ascii="Arial" w:cs="Arial" w:eastAsia="Arial" w:hAnsi="Arial"/>
          <w:sz w:val="16"/>
          <w:szCs w:val="16"/>
          <w:color w:val="auto"/>
        </w:rPr>
        <w:t>7.3 Proprietary Information will not include information that is or becomes readily publicly available without restriction through no unauthorized act of Adviser or any other party, or that Adviser has discovered independently outside the scope of the Services. Upon termination of this Agreement, Adviser will promptly return to the Company all items containing or embodying Proprietary Information (including all copies).</w:t>
      </w:r>
    </w:p>
    <w:p>
      <w:pPr>
        <w:spacing w:after="0" w:line="156" w:lineRule="exact"/>
        <w:rPr>
          <w:sz w:val="20"/>
          <w:szCs w:val="20"/>
          <w:color w:val="auto"/>
        </w:rPr>
      </w:pPr>
    </w:p>
    <w:p>
      <w:pPr>
        <w:ind w:right="180" w:firstLine="9"/>
        <w:spacing w:after="0" w:line="313"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this Section 8, the term Company includes the Company and all other persons or entities that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controlled by or are under common control with the Company (“</w:t>
      </w:r>
      <w:r>
        <w:rPr>
          <w:rFonts w:ascii="Arial" w:cs="Arial" w:eastAsia="Arial" w:hAnsi="Arial"/>
          <w:sz w:val="18"/>
          <w:szCs w:val="18"/>
          <w:u w:val="single" w:color="auto"/>
          <w:color w:val="auto"/>
        </w:rPr>
        <w:t>Affiliates</w:t>
      </w:r>
      <w:r>
        <w:rPr>
          <w:rFonts w:ascii="Arial" w:cs="Arial" w:eastAsia="Arial" w:hAnsi="Arial"/>
          <w:sz w:val="18"/>
          <w:szCs w:val="18"/>
          <w:color w:val="auto"/>
        </w:rPr>
        <w:t>”).</w:t>
      </w:r>
    </w:p>
    <w:p>
      <w:pPr>
        <w:spacing w:after="0" w:line="193" w:lineRule="exact"/>
        <w:rPr>
          <w:sz w:val="20"/>
          <w:szCs w:val="20"/>
          <w:color w:val="auto"/>
        </w:rPr>
      </w:pPr>
    </w:p>
    <w:p>
      <w:pPr>
        <w:ind w:left="580" w:right="160"/>
        <w:spacing w:after="0" w:line="299" w:lineRule="auto"/>
        <w:rPr>
          <w:sz w:val="20"/>
          <w:szCs w:val="20"/>
          <w:color w:val="auto"/>
        </w:rPr>
      </w:pPr>
      <w:r>
        <w:rPr>
          <w:rFonts w:ascii="Arial" w:cs="Arial" w:eastAsia="Arial" w:hAnsi="Arial"/>
          <w:sz w:val="17"/>
          <w:szCs w:val="17"/>
          <w:color w:val="auto"/>
        </w:rPr>
        <w:t>8.1 Definitions. “</w:t>
      </w:r>
      <w:r>
        <w:rPr>
          <w:rFonts w:ascii="Arial" w:cs="Arial" w:eastAsia="Arial" w:hAnsi="Arial"/>
          <w:sz w:val="17"/>
          <w:szCs w:val="17"/>
          <w:u w:val="single" w:color="auto"/>
          <w:color w:val="auto"/>
        </w:rPr>
        <w:t>Any Capacity</w:t>
      </w:r>
      <w:r>
        <w:rPr>
          <w:rFonts w:ascii="Arial" w:cs="Arial" w:eastAsia="Arial" w:hAnsi="Arial"/>
          <w:sz w:val="17"/>
          <w:szCs w:val="17"/>
          <w:color w:val="auto"/>
        </w:rPr>
        <w:t xml:space="preserve">” includes, without limitation, to (i) be an owner, founder, shareholder, partner, member, advisor, director, consultant, contractor, agent, employee, affiliate or co-venturer, (ii) otherwise invest, engage or participate in, (iii) be compensated by or (iv) prepare to be or do any of the foregoing or assist any third party to do so;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any Capacity will not include being a holder of less than one percent (1%) of the outstanding equity of a public company. “</w:t>
      </w:r>
      <w:r>
        <w:rPr>
          <w:rFonts w:ascii="Arial" w:cs="Arial" w:eastAsia="Arial" w:hAnsi="Arial"/>
          <w:sz w:val="17"/>
          <w:szCs w:val="17"/>
          <w:u w:val="single" w:color="auto"/>
          <w:color w:val="auto"/>
        </w:rPr>
        <w:t>Business Partner</w:t>
      </w:r>
      <w:r>
        <w:rPr>
          <w:rFonts w:ascii="Arial" w:cs="Arial" w:eastAsia="Arial" w:hAnsi="Arial"/>
          <w:sz w:val="17"/>
          <w:szCs w:val="17"/>
          <w:color w:val="auto"/>
        </w:rPr>
        <w:t>” means any past, present or prospective customer, vendor, supplier, distributor or other business partner of the Company with whom Adviser has (or has had) contact during Adviser’s provision of the Services. “</w:t>
      </w:r>
      <w:r>
        <w:rPr>
          <w:rFonts w:ascii="Arial" w:cs="Arial" w:eastAsia="Arial" w:hAnsi="Arial"/>
          <w:sz w:val="17"/>
          <w:szCs w:val="17"/>
          <w:u w:val="single" w:color="auto"/>
          <w:color w:val="auto"/>
        </w:rPr>
        <w:t>Cause</w:t>
      </w:r>
      <w:r>
        <w:rPr>
          <w:rFonts w:ascii="Arial" w:cs="Arial" w:eastAsia="Arial" w:hAnsi="Arial"/>
          <w:sz w:val="17"/>
          <w:szCs w:val="17"/>
          <w:color w:val="auto"/>
        </w:rPr>
        <w:t>” means to recruit or otherwise solicit, induce or influence (or to attempt to do so). “</w:t>
      </w:r>
      <w:r>
        <w:rPr>
          <w:rFonts w:ascii="Arial" w:cs="Arial" w:eastAsia="Arial" w:hAnsi="Arial"/>
          <w:sz w:val="17"/>
          <w:szCs w:val="17"/>
          <w:u w:val="single" w:color="auto"/>
          <w:color w:val="auto"/>
        </w:rPr>
        <w:t>Solicit</w:t>
      </w:r>
      <w:r>
        <w:rPr>
          <w:rFonts w:ascii="Arial" w:cs="Arial" w:eastAsia="Arial" w:hAnsi="Arial"/>
          <w:sz w:val="17"/>
          <w:szCs w:val="17"/>
          <w:color w:val="auto"/>
        </w:rPr>
        <w:t>” means to (i) solicit the business or patronage of any Business Partner for oneself or any other person or entity, (ii) divert, entice or otherwise take away from the Company the business or patronage of any Business Partner, or to attempt to do so, or (iii) to solicit, induce or encourage any Business Partner to terminate or reduce its relationship with the Company.</w:t>
      </w:r>
    </w:p>
    <w:p>
      <w:pPr>
        <w:spacing w:after="0" w:line="198" w:lineRule="exact"/>
        <w:rPr>
          <w:sz w:val="20"/>
          <w:szCs w:val="20"/>
          <w:color w:val="auto"/>
        </w:rPr>
      </w:pPr>
    </w:p>
    <w:p>
      <w:pPr>
        <w:jc w:val="both"/>
        <w:ind w:left="580" w:right="660"/>
        <w:spacing w:after="0" w:line="319" w:lineRule="auto"/>
        <w:rPr>
          <w:sz w:val="20"/>
          <w:szCs w:val="20"/>
          <w:color w:val="auto"/>
        </w:rPr>
      </w:pPr>
      <w:r>
        <w:rPr>
          <w:rFonts w:ascii="Arial" w:cs="Arial" w:eastAsia="Arial" w:hAnsi="Arial"/>
          <w:sz w:val="17"/>
          <w:szCs w:val="17"/>
          <w:color w:val="auto"/>
        </w:rPr>
        <w:t>8.2 During the term of this Agreement, Adviser will not directly or indirectly: (i) Cause any person to leave their employment with the Company; (ii) solicit any Business Partner; or (iii) act in Any Capacity in or with respect to any commercial activity which competes or is reasonably likely to compete with any business that the Company conducts, or demonstrably anticipates conducting.</w:t>
      </w:r>
    </w:p>
    <w:p>
      <w:pPr>
        <w:spacing w:after="0" w:line="179" w:lineRule="exact"/>
        <w:rPr>
          <w:sz w:val="20"/>
          <w:szCs w:val="20"/>
          <w:color w:val="auto"/>
        </w:rPr>
      </w:pPr>
    </w:p>
    <w:p>
      <w:pPr>
        <w:ind w:left="580" w:right="80"/>
        <w:spacing w:after="0" w:line="295" w:lineRule="auto"/>
        <w:rPr>
          <w:sz w:val="20"/>
          <w:szCs w:val="20"/>
          <w:color w:val="auto"/>
        </w:rPr>
      </w:pPr>
      <w:r>
        <w:rPr>
          <w:rFonts w:ascii="Arial" w:cs="Arial" w:eastAsia="Arial" w:hAnsi="Arial"/>
          <w:sz w:val="18"/>
          <w:szCs w:val="18"/>
          <w:color w:val="auto"/>
        </w:rPr>
        <w:t>8.3 For the period of one year immediately following termination of this Agreement, Adviser will not directly or indirectly (i) Cause any person to leave their employment with the Company; or (ii) Solicit any Business Partner. In addition, for a period with no time limitation, Adviser will not engage in any activity that involves the use or disclosure of Proprietary Information.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160"/>
          </w:cols>
          <w:pgMar w:left="400" w:top="1340" w:right="339" w:bottom="1440" w:gutter="0" w:footer="0" w:header="0"/>
        </w:sectPr>
      </w:pPr>
    </w:p>
    <w:bookmarkStart w:id="50" w:name="page51"/>
    <w:bookmarkEnd w:id="50"/>
    <w:p>
      <w:pPr>
        <w:ind w:left="580" w:right="40"/>
        <w:spacing w:after="0" w:line="295" w:lineRule="auto"/>
        <w:rPr>
          <w:sz w:val="20"/>
          <w:szCs w:val="20"/>
          <w:color w:val="auto"/>
        </w:rPr>
      </w:pPr>
      <w:r>
        <w:rPr>
          <w:rFonts w:ascii="Arial" w:cs="Arial" w:eastAsia="Arial" w:hAnsi="Arial"/>
          <w:sz w:val="18"/>
          <w:szCs w:val="18"/>
          <w:color w:val="auto"/>
        </w:rPr>
        <w:t>8.4 Adviser understands that the restrictions set forth in Sections 7 and 8 are intended to protect the Company's interest in its Proprietary Information and established relationships and goodwill with employees and Business Partners, and agrees that such restrictions are reasonable and appropriate for this purpose.</w:t>
      </w:r>
    </w:p>
    <w:p>
      <w:pPr>
        <w:spacing w:after="0" w:line="272" w:lineRule="exact"/>
        <w:rPr>
          <w:sz w:val="20"/>
          <w:szCs w:val="20"/>
          <w:color w:val="auto"/>
        </w:rPr>
      </w:pPr>
    </w:p>
    <w:p>
      <w:pPr>
        <w:ind w:right="360" w:firstLine="9"/>
        <w:spacing w:after="0" w:line="346" w:lineRule="auto"/>
        <w:tabs>
          <w:tab w:leader="none" w:pos="567"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Conflicts.</w:t>
      </w:r>
      <w:r>
        <w:rPr>
          <w:rFonts w:ascii="Arial" w:cs="Arial" w:eastAsia="Arial" w:hAnsi="Arial"/>
          <w:sz w:val="17"/>
          <w:szCs w:val="17"/>
          <w:b w:val="1"/>
          <w:bCs w:val="1"/>
          <w:color w:val="auto"/>
        </w:rPr>
        <w:t xml:space="preserve"> </w:t>
      </w:r>
      <w:r>
        <w:rPr>
          <w:rFonts w:ascii="Arial" w:cs="Arial" w:eastAsia="Arial" w:hAnsi="Arial"/>
          <w:sz w:val="17"/>
          <w:szCs w:val="17"/>
          <w:color w:val="auto"/>
        </w:rPr>
        <w:t>The Adviser represents and warrants to the Company that the Adviser is free to enter into this Agreement and the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pursuant to this Agreement are not in conflict with any other contractual or other obligation to which Adviser is bound.</w:t>
      </w:r>
    </w:p>
    <w:p>
      <w:pPr>
        <w:spacing w:after="0" w:line="165" w:lineRule="exact"/>
        <w:rPr>
          <w:rFonts w:ascii="Arial" w:cs="Arial" w:eastAsia="Arial" w:hAnsi="Arial"/>
          <w:sz w:val="17"/>
          <w:szCs w:val="17"/>
          <w:color w:val="auto"/>
        </w:rPr>
      </w:pPr>
    </w:p>
    <w:p>
      <w:pPr>
        <w:jc w:val="both"/>
        <w:ind w:left="40" w:right="180" w:hanging="4"/>
        <w:spacing w:after="0" w:line="333" w:lineRule="auto"/>
        <w:tabs>
          <w:tab w:leader="none" w:pos="575" w:val="left"/>
        </w:tabs>
        <w:numPr>
          <w:ilvl w:val="1"/>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and other communications must be in writing and delivered to the person designated below by (a) email or (b) nationally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internationally recognized courier service or postal service, return receipt requested. Such notices will be deemed effective when received or, in the case of email notices, when the recipient, acknowledges having received the email (with an automatic “read receipt” not constituting acknowledgment of an email for purposes of this Section). Notices and communications will be sent to the address last specified to the other party in writing.</w:t>
      </w:r>
    </w:p>
    <w:p>
      <w:pPr>
        <w:spacing w:after="0" w:line="180" w:lineRule="exact"/>
        <w:rPr>
          <w:rFonts w:ascii="Arial" w:cs="Arial" w:eastAsia="Arial" w:hAnsi="Arial"/>
          <w:sz w:val="16"/>
          <w:szCs w:val="16"/>
          <w:color w:val="auto"/>
        </w:rPr>
      </w:pPr>
    </w:p>
    <w:p>
      <w:pPr>
        <w:ind w:left="40" w:right="160" w:hanging="4"/>
        <w:spacing w:after="0" w:line="313" w:lineRule="auto"/>
        <w:tabs>
          <w:tab w:leader="none" w:pos="569"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solely for the benefit of Adviser and the Company, its shareholders, directors and officers.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shall acquire or have any right under or by virtue of this Agreement.</w:t>
      </w:r>
    </w:p>
    <w:p>
      <w:pPr>
        <w:spacing w:after="0" w:line="189" w:lineRule="exact"/>
        <w:rPr>
          <w:rFonts w:ascii="Arial" w:cs="Arial" w:eastAsia="Arial" w:hAnsi="Arial"/>
          <w:sz w:val="18"/>
          <w:szCs w:val="18"/>
          <w:color w:val="auto"/>
        </w:rPr>
      </w:pPr>
    </w:p>
    <w:p>
      <w:pPr>
        <w:ind w:left="40" w:right="40" w:hanging="4"/>
        <w:spacing w:after="0" w:line="281" w:lineRule="auto"/>
        <w:tabs>
          <w:tab w:leader="none" w:pos="575"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Amendments; Severability;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and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supersedes any and all previous agreements and understandings, whether oral or written, between the parties with respect to the matters set forth in this Agreement. No provision of this Agreement may be amended, modified or waived, except in a writing signed by the parties. The invalidity or unenforceability of any provision of this Agreement shall not affect the validity or enforceability of any other provision, and if any restriction in this Agreement is found by a court to be unreasonable or unenforceable, then such court may amend or modify the restriction so it can be enforced to the fullest extent permitted by law. The section headings in this Agreement have been inserted as a matter of convenience of reference and are not a part of this Agreement. This Agreement may be executed by electronic signature in any number of counterparts, each of which together shall constitute one and the same instrument.</w:t>
      </w:r>
    </w:p>
    <w:p>
      <w:pPr>
        <w:spacing w:after="0" w:line="221" w:lineRule="exact"/>
        <w:rPr>
          <w:rFonts w:ascii="Arial" w:cs="Arial" w:eastAsia="Arial" w:hAnsi="Arial"/>
          <w:sz w:val="18"/>
          <w:szCs w:val="18"/>
          <w:color w:val="auto"/>
        </w:rPr>
      </w:pPr>
    </w:p>
    <w:p>
      <w:pPr>
        <w:jc w:val="both"/>
        <w:ind w:left="40" w:right="80" w:hanging="5"/>
        <w:spacing w:after="0" w:line="333" w:lineRule="auto"/>
        <w:tabs>
          <w:tab w:leader="none" w:pos="575" w:val="left"/>
        </w:tabs>
        <w:numPr>
          <w:ilvl w:val="1"/>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Applicable Law;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interpreted and construed in accordance with the laws of New York. Any and all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controversies and causes of action arising out of or relating to this Agreement, whether sounding in contract, tort or statute, shall be governed by the laws of the New York including its statutes of limitations, without giving effect to any conflict-of-laws rule that would result in the application of the laws of a different jurisdiction. Any action arising out of this agreement shall be brought exclusively in a court of competent jurisdiction located in New York, NY.</w:t>
      </w:r>
    </w:p>
    <w:p>
      <w:pPr>
        <w:spacing w:after="0" w:line="153" w:lineRule="exact"/>
        <w:rPr>
          <w:rFonts w:ascii="Arial" w:cs="Arial" w:eastAsia="Arial" w:hAnsi="Arial"/>
          <w:sz w:val="16"/>
          <w:szCs w:val="16"/>
          <w:color w:val="auto"/>
        </w:rPr>
      </w:pPr>
    </w:p>
    <w:p>
      <w:pPr>
        <w:ind w:left="580" w:hanging="545"/>
        <w:spacing w:after="0"/>
        <w:tabs>
          <w:tab w:leader="none" w:pos="580"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been duly authorized, executed and delivered by and on behalf of the Company and the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160"/>
          </w:cols>
          <w:pgMar w:left="400" w:top="13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Agreement is entered into and executed by the parties as of the dates set forth below in the State of New York.</w:t>
      </w:r>
    </w:p>
    <w:p>
      <w:pPr>
        <w:spacing w:after="0" w:line="3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BuzzFeed, Inc.</w:t>
      </w:r>
    </w:p>
    <w:p>
      <w:pPr>
        <w:spacing w:after="0" w:line="333"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Marcela Martin</w:t>
      </w:r>
    </w:p>
    <w:p>
      <w:pPr>
        <w:spacing w:after="0" w:line="50"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Marcela Martin</w:t>
      </w:r>
    </w:p>
    <w:p>
      <w:pPr>
        <w:spacing w:after="0" w:line="63"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President</w:t>
      </w:r>
    </w:p>
    <w:p>
      <w:pPr>
        <w:spacing w:after="0" w:line="50"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u w:val="single" w:color="auto"/>
          <w:color w:val="auto"/>
        </w:rPr>
        <w:t>12/28/2022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Greg Coleman</w:t>
      </w:r>
    </w:p>
    <w:p>
      <w:pPr>
        <w:spacing w:after="0" w:line="32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Greg Coleman</w:t>
      </w:r>
    </w:p>
    <w:p>
      <w:pPr>
        <w:spacing w:after="0" w:line="63"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Greg Coleman</w:t>
      </w:r>
    </w:p>
    <w:p>
      <w:pPr>
        <w:spacing w:after="0" w:line="63"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As an Individual</w:t>
      </w:r>
    </w:p>
    <w:p>
      <w:pPr>
        <w:spacing w:after="0" w:line="50"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u w:val="single" w:color="auto"/>
          <w:color w:val="auto"/>
        </w:rPr>
        <w:t>12/28/2022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404" w:right="339" w:bottom="1440" w:gutter="0" w:footer="0" w:header="0"/>
        </w:sectPr>
      </w:pPr>
    </w:p>
    <w:bookmarkStart w:id="52" w:name="page53"/>
    <w:bookmarkEnd w:id="52"/>
    <w:p>
      <w:pPr>
        <w:spacing w:after="0" w:line="72" w:lineRule="exact"/>
        <w:rPr>
          <w:sz w:val="20"/>
          <w:szCs w:val="20"/>
          <w:color w:val="auto"/>
        </w:rPr>
      </w:pPr>
    </w:p>
    <w:p>
      <w:pPr>
        <w:ind w:left="10060"/>
        <w:spacing w:after="0"/>
        <w:rPr>
          <w:sz w:val="20"/>
          <w:szCs w:val="20"/>
          <w:color w:val="auto"/>
        </w:rPr>
      </w:pPr>
      <w:r>
        <w:rPr>
          <w:rFonts w:ascii="Arial" w:cs="Arial" w:eastAsia="Arial" w:hAnsi="Arial"/>
          <w:sz w:val="18"/>
          <w:szCs w:val="18"/>
          <w:b w:val="1"/>
          <w:bCs w:val="1"/>
          <w:color w:val="auto"/>
        </w:rPr>
        <w:t>Exhibit 10.2</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BuzzFeed Adviser Agreement</w:t>
      </w:r>
    </w:p>
    <w:p>
      <w:pPr>
        <w:spacing w:after="0" w:line="219" w:lineRule="exact"/>
        <w:rPr>
          <w:sz w:val="20"/>
          <w:szCs w:val="20"/>
          <w:color w:val="auto"/>
        </w:rPr>
      </w:pPr>
    </w:p>
    <w:p>
      <w:pPr>
        <w:ind w:left="40" w:right="300"/>
        <w:spacing w:after="0" w:line="313"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effective as of April 6, 2023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BuzzFeed, Inc. (the "</w:t>
      </w:r>
      <w:r>
        <w:rPr>
          <w:rFonts w:ascii="Arial" w:cs="Arial" w:eastAsia="Arial" w:hAnsi="Arial"/>
          <w:sz w:val="18"/>
          <w:szCs w:val="18"/>
          <w:b w:val="1"/>
          <w:bCs w:val="1"/>
          <w:color w:val="auto"/>
        </w:rPr>
        <w:t>Company</w:t>
      </w:r>
      <w:r>
        <w:rPr>
          <w:rFonts w:ascii="Arial" w:cs="Arial" w:eastAsia="Arial" w:hAnsi="Arial"/>
          <w:sz w:val="18"/>
          <w:szCs w:val="18"/>
          <w:color w:val="auto"/>
        </w:rPr>
        <w:t>") and Joan Amble (the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obtain the advice, counsel and services of the Adviser;</w:t>
      </w:r>
    </w:p>
    <w:p>
      <w:pPr>
        <w:spacing w:after="0" w:line="279" w:lineRule="exact"/>
        <w:rPr>
          <w:sz w:val="20"/>
          <w:szCs w:val="20"/>
          <w:color w:val="auto"/>
        </w:rPr>
      </w:pPr>
    </w:p>
    <w:p>
      <w:pPr>
        <w:ind w:left="40" w:right="40"/>
        <w:spacing w:after="0" w:line="28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would like to engage the Adviser as an independent contractor to act as an consultant to the Company after her service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of Directors has concluded on May 31, 2023, and the Adviser is willing to provide advice and services to the Company on the terms and conditions set forth in this Agreement;</w:t>
      </w:r>
    </w:p>
    <w:p>
      <w:pPr>
        <w:spacing w:after="0" w:line="211" w:lineRule="exact"/>
        <w:rPr>
          <w:sz w:val="20"/>
          <w:szCs w:val="20"/>
          <w:color w:val="auto"/>
        </w:rPr>
      </w:pPr>
    </w:p>
    <w:p>
      <w:pPr>
        <w:ind w:right="160"/>
        <w:spacing w:after="0" w:line="3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services provided hereunder by the Adviser, which are to be furnished after her service as a Director has concluded, are independent of</w:t>
      </w:r>
      <w:r>
        <w:rPr>
          <w:rFonts w:ascii="Arial" w:cs="Arial" w:eastAsia="Arial" w:hAnsi="Arial"/>
          <w:sz w:val="16"/>
          <w:szCs w:val="16"/>
          <w:b w:val="1"/>
          <w:bCs w:val="1"/>
          <w:color w:val="auto"/>
        </w:rPr>
        <w:t xml:space="preserve"> </w:t>
      </w:r>
      <w:r>
        <w:rPr>
          <w:rFonts w:ascii="Arial" w:cs="Arial" w:eastAsia="Arial" w:hAnsi="Arial"/>
          <w:sz w:val="16"/>
          <w:szCs w:val="16"/>
          <w:color w:val="auto"/>
        </w:rPr>
        <w:t>and distinct from her duties as a member of the Board of Directors of the Company, including that they shall post-date her tenure as a Director; and</w:t>
      </w:r>
    </w:p>
    <w:p>
      <w:pPr>
        <w:spacing w:after="0" w:line="143" w:lineRule="exact"/>
        <w:rPr>
          <w:sz w:val="20"/>
          <w:szCs w:val="20"/>
          <w:color w:val="auto"/>
        </w:rPr>
      </w:pPr>
    </w:p>
    <w:p>
      <w:pPr>
        <w:ind w:right="540"/>
        <w:spacing w:after="0" w:line="29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Adviser is compensated in accordance with the Non-Employee Director Compensation Policy for her services as a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is hereby acknowledged, the parties agree as follows:</w:t>
      </w:r>
    </w:p>
    <w:p>
      <w:pPr>
        <w:spacing w:after="0" w:line="302" w:lineRule="exact"/>
        <w:rPr>
          <w:sz w:val="20"/>
          <w:szCs w:val="20"/>
          <w:color w:val="auto"/>
        </w:rPr>
      </w:pPr>
    </w:p>
    <w:p>
      <w:pPr>
        <w:jc w:val="both"/>
        <w:ind w:right="140" w:firstLine="9"/>
        <w:spacing w:after="0" w:line="306" w:lineRule="auto"/>
        <w:tabs>
          <w:tab w:leader="none" w:pos="567"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Service as an Adviser.</w:t>
      </w:r>
      <w:r>
        <w:rPr>
          <w:rFonts w:ascii="Arial" w:cs="Arial" w:eastAsia="Arial" w:hAnsi="Arial"/>
          <w:sz w:val="17"/>
          <w:szCs w:val="17"/>
          <w:b w:val="1"/>
          <w:bCs w:val="1"/>
          <w:color w:val="auto"/>
        </w:rPr>
        <w:t xml:space="preserve"> </w:t>
      </w:r>
      <w:r>
        <w:rPr>
          <w:rFonts w:ascii="Arial" w:cs="Arial" w:eastAsia="Arial" w:hAnsi="Arial"/>
          <w:sz w:val="17"/>
          <w:szCs w:val="17"/>
          <w:color w:val="auto"/>
        </w:rPr>
        <w:t>After her term as a Director concludes, the Adviser shall serve as an adviser to the Company on a non-exclusive basis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Adviser’s title shall be “</w:t>
      </w:r>
      <w:r>
        <w:rPr>
          <w:rFonts w:ascii="Arial" w:cs="Arial" w:eastAsia="Arial" w:hAnsi="Arial"/>
          <w:sz w:val="17"/>
          <w:szCs w:val="17"/>
          <w:b w:val="1"/>
          <w:bCs w:val="1"/>
          <w:color w:val="auto"/>
        </w:rPr>
        <w:t>Adviser</w:t>
      </w:r>
      <w:r>
        <w:rPr>
          <w:rFonts w:ascii="Arial" w:cs="Arial" w:eastAsia="Arial" w:hAnsi="Arial"/>
          <w:sz w:val="17"/>
          <w:szCs w:val="17"/>
          <w:color w:val="auto"/>
        </w:rPr>
        <w:t>.” The Adviser shall perform the services hereunder as an independent contractor and not as an employee, agent, joint venturer or partner of the Company. The Adviser shall have no power or authority to act for, represent or bind the Company or its affiliates in any manner whatsoever, except as may be expressly agreed on each occasion, in writing, by the Company. The Adviser agrees to take no action that expresses or implies that the Adviser has such power or authority.</w:t>
      </w:r>
    </w:p>
    <w:p>
      <w:pPr>
        <w:spacing w:after="0" w:line="198" w:lineRule="exact"/>
        <w:rPr>
          <w:rFonts w:ascii="Arial" w:cs="Arial" w:eastAsia="Arial" w:hAnsi="Arial"/>
          <w:sz w:val="17"/>
          <w:szCs w:val="17"/>
          <w:color w:val="auto"/>
        </w:rPr>
      </w:pPr>
    </w:p>
    <w:p>
      <w:pPr>
        <w:ind w:left="40" w:right="160" w:hanging="4"/>
        <w:spacing w:after="0" w:line="329" w:lineRule="auto"/>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the Adviser will support the finance and risk activities of the Company by providing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Chief Financial Officer, Chief Accounting Officer, Vice President of SOX Internal Controls, and Senior Director of Risk Management (collectively, the “</w:t>
      </w:r>
      <w:r>
        <w:rPr>
          <w:rFonts w:ascii="Arial" w:cs="Arial" w:eastAsia="Arial" w:hAnsi="Arial"/>
          <w:sz w:val="16"/>
          <w:szCs w:val="16"/>
          <w:b w:val="1"/>
          <w:bCs w:val="1"/>
          <w:color w:val="auto"/>
        </w:rPr>
        <w:t>Advisees</w:t>
      </w:r>
      <w:r>
        <w:rPr>
          <w:rFonts w:ascii="Arial" w:cs="Arial" w:eastAsia="Arial" w:hAnsi="Arial"/>
          <w:sz w:val="16"/>
          <w:szCs w:val="16"/>
          <w:color w:val="auto"/>
        </w:rPr>
        <w:t>”). Upon Company request during the term, the Adviser shall attend meetings and consult with and advise the Advisees in furthering the Company’s interests. The services to be performed by Adviser as described in this Agreement are hereinafter referred to as the “</w:t>
      </w:r>
      <w:r>
        <w:rPr>
          <w:rFonts w:ascii="Arial" w:cs="Arial" w:eastAsia="Arial" w:hAnsi="Arial"/>
          <w:sz w:val="16"/>
          <w:szCs w:val="16"/>
          <w:b w:val="1"/>
          <w:bCs w:val="1"/>
          <w:color w:val="auto"/>
        </w:rPr>
        <w:t>Services</w:t>
      </w:r>
      <w:r>
        <w:rPr>
          <w:rFonts w:ascii="Arial" w:cs="Arial" w:eastAsia="Arial" w:hAnsi="Arial"/>
          <w:sz w:val="16"/>
          <w:szCs w:val="16"/>
          <w:color w:val="auto"/>
        </w:rPr>
        <w:t>” and are separate and distinct from the services she provides as a Director of the Company, including that they shall post-date her tenure as a Director.</w:t>
      </w:r>
    </w:p>
    <w:p>
      <w:pPr>
        <w:spacing w:after="0" w:line="169" w:lineRule="exact"/>
        <w:rPr>
          <w:rFonts w:ascii="Arial" w:cs="Arial" w:eastAsia="Arial" w:hAnsi="Arial"/>
          <w:sz w:val="16"/>
          <w:szCs w:val="16"/>
          <w:color w:val="auto"/>
        </w:rPr>
      </w:pPr>
    </w:p>
    <w:p>
      <w:pPr>
        <w:ind w:left="40" w:right="160" w:hanging="4"/>
        <w:spacing w:after="0" w:line="281" w:lineRule="auto"/>
        <w:tabs>
          <w:tab w:leader="none" w:pos="580"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Services shall commence following the Adviser’s last day as member of the Board of Directors and shall continue through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2023 (the “</w:t>
      </w:r>
      <w:r>
        <w:rPr>
          <w:rFonts w:ascii="Arial" w:cs="Arial" w:eastAsia="Arial" w:hAnsi="Arial"/>
          <w:sz w:val="18"/>
          <w:szCs w:val="18"/>
          <w:b w:val="1"/>
          <w:bCs w:val="1"/>
          <w:color w:val="auto"/>
        </w:rPr>
        <w:t>Expiration Date</w:t>
      </w:r>
      <w:r>
        <w:rPr>
          <w:rFonts w:ascii="Arial" w:cs="Arial" w:eastAsia="Arial" w:hAnsi="Arial"/>
          <w:sz w:val="18"/>
          <w:szCs w:val="18"/>
          <w:color w:val="auto"/>
        </w:rPr>
        <w:t>”), provided that either party may terminate this Agreement at any time upon thirty (30) days written notice to the other. Notwithstanding any termination of this Agreement by the Company (other than for Cause (defined below)), the Company’s obligations under Section 4 of this Agreement shall survive. Section 4, Section 6, Section 7, and Section 8 shall survive the termination of this Agreement by either party, and/or the expiration of this Agreement. As used herein, “</w:t>
      </w:r>
      <w:r>
        <w:rPr>
          <w:rFonts w:ascii="Arial" w:cs="Arial" w:eastAsia="Arial" w:hAnsi="Arial"/>
          <w:sz w:val="18"/>
          <w:szCs w:val="18"/>
          <w:b w:val="1"/>
          <w:bCs w:val="1"/>
          <w:color w:val="auto"/>
        </w:rPr>
        <w:t>Cause</w:t>
      </w:r>
      <w:r>
        <w:rPr>
          <w:rFonts w:ascii="Arial" w:cs="Arial" w:eastAsia="Arial" w:hAnsi="Arial"/>
          <w:sz w:val="18"/>
          <w:szCs w:val="18"/>
          <w:color w:val="auto"/>
        </w:rPr>
        <w:t>” means (a) Adviser’s unauthorized use or disclosure of the Company’s Proprietary Information (including, without limitation, breach of Section 7 of this Agreement) and/or (b) Adviser’s non-performance of his duties hereunder subject to the Company providing prior written notice thereof to the Adviser and Adviser’s failure to cure such non-performance within 10 days of receipt of such notice.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160"/>
          </w:cols>
          <w:pgMar w:left="400" w:top="1440" w:right="339" w:bottom="1440" w:gutter="0" w:footer="0" w:header="0"/>
        </w:sectPr>
      </w:pPr>
    </w:p>
    <w:bookmarkStart w:id="53" w:name="page54"/>
    <w:bookmarkEnd w:id="53"/>
    <w:p>
      <w:pPr>
        <w:ind w:right="80" w:firstLine="9"/>
        <w:spacing w:after="0" w:line="303" w:lineRule="auto"/>
        <w:tabs>
          <w:tab w:leader="none" w:pos="567"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of November 5, 2021 (“</w:t>
      </w:r>
      <w:r>
        <w:rPr>
          <w:rFonts w:ascii="Arial" w:cs="Arial" w:eastAsia="Arial" w:hAnsi="Arial"/>
          <w:sz w:val="17"/>
          <w:szCs w:val="17"/>
          <w:b w:val="1"/>
          <w:bCs w:val="1"/>
          <w:color w:val="auto"/>
        </w:rPr>
        <w:t>Initial Grant Date</w:t>
      </w:r>
      <w:r>
        <w:rPr>
          <w:rFonts w:ascii="Arial" w:cs="Arial" w:eastAsia="Arial" w:hAnsi="Arial"/>
          <w:sz w:val="17"/>
          <w:szCs w:val="17"/>
          <w:color w:val="auto"/>
        </w:rPr>
        <w:t>”), pursuant to the 2015 Equity Incentive Plan, Advisor, in her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the Company, received an initial equity grant of restricted stock units in four tranches valued at US$250,000 (two-hundred and fifty thousand dollars and zero cents) (“</w:t>
      </w:r>
      <w:r>
        <w:rPr>
          <w:rFonts w:ascii="Arial" w:cs="Arial" w:eastAsia="Arial" w:hAnsi="Arial"/>
          <w:sz w:val="17"/>
          <w:szCs w:val="17"/>
          <w:b w:val="1"/>
          <w:bCs w:val="1"/>
          <w:color w:val="auto"/>
        </w:rPr>
        <w:t>Initial Equity Grant</w:t>
      </w:r>
      <w:r>
        <w:rPr>
          <w:rFonts w:ascii="Arial" w:cs="Arial" w:eastAsia="Arial" w:hAnsi="Arial"/>
          <w:sz w:val="17"/>
          <w:szCs w:val="17"/>
          <w:color w:val="auto"/>
        </w:rPr>
        <w:t>”), which, thereafter, was exchanged for a number of shares of equal value under the 2021 Equity Incentive Plan adopted in December 2021 (“</w:t>
      </w:r>
      <w:r>
        <w:rPr>
          <w:rFonts w:ascii="Arial" w:cs="Arial" w:eastAsia="Arial" w:hAnsi="Arial"/>
          <w:sz w:val="17"/>
          <w:szCs w:val="17"/>
          <w:b w:val="1"/>
          <w:bCs w:val="1"/>
          <w:color w:val="auto"/>
        </w:rPr>
        <w:t>2021 Plan</w:t>
      </w:r>
      <w:r>
        <w:rPr>
          <w:rFonts w:ascii="Arial" w:cs="Arial" w:eastAsia="Arial" w:hAnsi="Arial"/>
          <w:sz w:val="17"/>
          <w:szCs w:val="17"/>
          <w:color w:val="auto"/>
        </w:rPr>
        <w:t>”). The RSUs were to vest according to the underlying award agreements. In addition, pursuant to the Company’s Non-Employee Directors Compensation Policy, Adviser, in her capacity as a Director of the Company, is entitled to an annual grant of restricted stock units, valued at US$175,000 (one-hundred and seventy-five thousand dollars and zero cents) (“</w:t>
      </w:r>
      <w:r>
        <w:rPr>
          <w:rFonts w:ascii="Arial" w:cs="Arial" w:eastAsia="Arial" w:hAnsi="Arial"/>
          <w:sz w:val="17"/>
          <w:szCs w:val="17"/>
          <w:b w:val="1"/>
          <w:bCs w:val="1"/>
          <w:color w:val="auto"/>
        </w:rPr>
        <w:t>2022 Annual Grant</w:t>
      </w:r>
      <w:r>
        <w:rPr>
          <w:rFonts w:ascii="Arial" w:cs="Arial" w:eastAsia="Arial" w:hAnsi="Arial"/>
          <w:sz w:val="17"/>
          <w:szCs w:val="17"/>
          <w:color w:val="auto"/>
        </w:rPr>
        <w:t>”) under the 2021 Plan, with a vest date effective as of December 3, 2022, to vest in quarterly installments over one-year from the vest date.</w:t>
      </w:r>
    </w:p>
    <w:p>
      <w:pPr>
        <w:spacing w:after="0" w:line="194" w:lineRule="exact"/>
        <w:rPr>
          <w:sz w:val="20"/>
          <w:szCs w:val="20"/>
          <w:color w:val="auto"/>
        </w:rPr>
      </w:pPr>
    </w:p>
    <w:p>
      <w:pPr>
        <w:jc w:val="both"/>
        <w:ind w:left="280" w:right="120"/>
        <w:spacing w:after="0" w:line="284" w:lineRule="auto"/>
        <w:rPr>
          <w:sz w:val="20"/>
          <w:szCs w:val="20"/>
          <w:color w:val="auto"/>
        </w:rPr>
      </w:pPr>
      <w:r>
        <w:rPr>
          <w:rFonts w:ascii="Arial" w:cs="Arial" w:eastAsia="Arial" w:hAnsi="Arial"/>
          <w:sz w:val="18"/>
          <w:szCs w:val="18"/>
          <w:color w:val="auto"/>
        </w:rPr>
        <w:t>4.1 As consideration for the Services, the Company shall cause any restricted stock units under the Initial Equity Grant or the 2022 Annual Grant that remain unvested at the time of the Expiration Date (or on such earlier date that this Agreement is terminated as described in Section 3, above) to vest in full on that date. The Adviser agrees to pay, and to hold the Company harmless with respect to, any federal, state, and local taxes applicable in connection with the acceleration of any unvested restricted stock units as described herein, and this obligation shall survive termination or expiration of this Agreement.</w:t>
      </w:r>
    </w:p>
    <w:p>
      <w:pPr>
        <w:spacing w:after="0" w:line="220" w:lineRule="exact"/>
        <w:rPr>
          <w:sz w:val="20"/>
          <w:szCs w:val="20"/>
          <w:color w:val="auto"/>
        </w:rPr>
      </w:pPr>
    </w:p>
    <w:p>
      <w:pPr>
        <w:ind w:left="280" w:right="100"/>
        <w:spacing w:after="0" w:line="297" w:lineRule="auto"/>
        <w:rPr>
          <w:sz w:val="20"/>
          <w:szCs w:val="20"/>
          <w:color w:val="auto"/>
        </w:rPr>
      </w:pPr>
      <w:r>
        <w:rPr>
          <w:rFonts w:ascii="Arial" w:cs="Arial" w:eastAsia="Arial" w:hAnsi="Arial"/>
          <w:sz w:val="17"/>
          <w:szCs w:val="17"/>
          <w:color w:val="auto"/>
        </w:rPr>
        <w:t>4.2 In addition to the furnishment of her Services hereunder, the Adviser, in consideration of the acceleration described in Section 4.1 above, for herself and for her heirs, executors, administrators, trustees, legal representatives, successors and assigns, releases and forever discharges the Company, and any and all of its past and present, predecessors, successors, parent companies and subsidiary entities, insurers, affiliates, and assigns and its and their past and present directors, officers, employees, shareholders, partners, agents, attorneys, employee benefit plans and their administrators and trustees, in their individual and official capacities (collectively, the “</w:t>
      </w:r>
      <w:r>
        <w:rPr>
          <w:rFonts w:ascii="Arial" w:cs="Arial" w:eastAsia="Arial" w:hAnsi="Arial"/>
          <w:sz w:val="17"/>
          <w:szCs w:val="17"/>
          <w:b w:val="1"/>
          <w:bCs w:val="1"/>
          <w:color w:val="auto"/>
        </w:rPr>
        <w:t>Released Parties</w:t>
      </w:r>
      <w:r>
        <w:rPr>
          <w:rFonts w:ascii="Arial" w:cs="Arial" w:eastAsia="Arial" w:hAnsi="Arial"/>
          <w:sz w:val="17"/>
          <w:szCs w:val="17"/>
          <w:color w:val="auto"/>
        </w:rPr>
        <w:t>”) from any and all claims, demands, causes of action, fees, liabilities and obligations of any kind whatsoever, both known and unknown, which Adviser ever had, now has, or may have against any of the Released Parties by reason of any act, omission, transaction, practice, plan, policy, procedure, conduct, occurrence, or other matter, up to and including the date of this Agreement’s execution by the parties, that lawfully may be released by private agreement; provided, however, that this shall not obviate the Company’s obligations to indemnify the Adviser from third-party claims under its Bylaws, Articles of Incorporation, or the December 3, 2021 Indemnity Agreement between the Company and the Adviser, to the extent that those third-party claims arise out of or relate to her actions or omissions as a Director of the Company.</w:t>
      </w:r>
    </w:p>
    <w:p>
      <w:pPr>
        <w:spacing w:after="0" w:line="211" w:lineRule="exact"/>
        <w:rPr>
          <w:sz w:val="20"/>
          <w:szCs w:val="20"/>
          <w:color w:val="auto"/>
        </w:rPr>
      </w:pPr>
    </w:p>
    <w:p>
      <w:pPr>
        <w:ind w:left="40" w:right="340" w:hanging="5"/>
        <w:spacing w:after="0" w:line="28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reimburse Adviser promptly for reasonable, documented, out- of-pocket expenses incurred solely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Adviser's performance of the Services; provided that Adviser shall not incur any expense in excess of US$1,000.00 without the prior written approval of the Company. Adviser shall incur any expenses and provide appropriate written documentation of all expenses in accordance with Company’s Travel and Expense policy.</w:t>
      </w:r>
    </w:p>
    <w:p>
      <w:pPr>
        <w:spacing w:after="0" w:line="211" w:lineRule="exact"/>
        <w:rPr>
          <w:rFonts w:ascii="Arial" w:cs="Arial" w:eastAsia="Arial" w:hAnsi="Arial"/>
          <w:sz w:val="18"/>
          <w:szCs w:val="18"/>
          <w:color w:val="auto"/>
        </w:rPr>
      </w:pPr>
    </w:p>
    <w:p>
      <w:pPr>
        <w:ind w:left="40" w:right="20" w:hanging="5"/>
        <w:spacing w:after="0" w:line="321"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performance of Services under this Agreement, the Adviser is obligated to act only in good faith, and shall not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for errors in judgment that are not the result of gross negligence (i.e., recklessness), willful misconduct, fraud or knowingly unlawful acts. The Company agrees to indemnify and hold the Adviser harmless from and against any and all losses, claims, expenses, damages or liabilities, joint or several, to which the Adviser may become subject (including the costs of any investigation and all reasonable attorneys' fees and costs) or incurred by the Adviser, to the fullest extent lawful, in connection with any pending or threatened litigation, legal claim or proceeding arising out of or in connection with the Services rendered by the Adviser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shall not apply to any such losses, claims, related expenses, damages or liabilities arising out of or in connection with the Adviser's gross negligence, willful misconduct, fraud, knowingly unlawful acts or material breach this Agreement. The terms and provisions of this Section 6 shall survive termination or expiration of this Agreement.</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160"/>
          </w:cols>
          <w:pgMar w:left="400" w:top="1336" w:right="339" w:bottom="1440" w:gutter="0" w:footer="0" w:header="0"/>
        </w:sectPr>
      </w:pPr>
    </w:p>
    <w:bookmarkStart w:id="54" w:name="page55"/>
    <w:bookmarkEnd w:id="54"/>
    <w:p>
      <w:pPr>
        <w:spacing w:after="0" w:line="153" w:lineRule="exact"/>
        <w:rPr>
          <w:sz w:val="20"/>
          <w:szCs w:val="20"/>
          <w:color w:val="auto"/>
        </w:rPr>
      </w:pPr>
    </w:p>
    <w:p>
      <w:pPr>
        <w:ind w:left="580" w:hanging="544"/>
        <w:spacing w:after="0"/>
        <w:tabs>
          <w:tab w:leader="none" w:pos="580"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Proprietary Information</w:t>
      </w:r>
      <w:r>
        <w:rPr>
          <w:rFonts w:ascii="Arial" w:cs="Arial" w:eastAsia="Arial" w:hAnsi="Arial"/>
          <w:sz w:val="18"/>
          <w:szCs w:val="18"/>
          <w:b w:val="1"/>
          <w:bCs w:val="1"/>
          <w:color w:val="auto"/>
        </w:rPr>
        <w:t>.</w:t>
      </w:r>
    </w:p>
    <w:p>
      <w:pPr>
        <w:spacing w:after="0" w:line="265" w:lineRule="exact"/>
        <w:rPr>
          <w:rFonts w:ascii="Arial" w:cs="Arial" w:eastAsia="Arial" w:hAnsi="Arial"/>
          <w:sz w:val="18"/>
          <w:szCs w:val="18"/>
          <w:color w:val="auto"/>
        </w:rPr>
      </w:pPr>
    </w:p>
    <w:p>
      <w:pPr>
        <w:ind w:left="580" w:right="20"/>
        <w:spacing w:after="0" w:line="281" w:lineRule="auto"/>
        <w:rPr>
          <w:rFonts w:ascii="Arial" w:cs="Arial" w:eastAsia="Arial" w:hAnsi="Arial"/>
          <w:sz w:val="18"/>
          <w:szCs w:val="18"/>
          <w:color w:val="auto"/>
        </w:rPr>
      </w:pPr>
      <w:r>
        <w:rPr>
          <w:rFonts w:ascii="Arial" w:cs="Arial" w:eastAsia="Arial" w:hAnsi="Arial"/>
          <w:sz w:val="18"/>
          <w:szCs w:val="18"/>
          <w:color w:val="auto"/>
        </w:rPr>
        <w:t>7.1 For purposes hereof, the term “</w:t>
      </w:r>
      <w:r>
        <w:rPr>
          <w:rFonts w:ascii="Arial" w:cs="Arial" w:eastAsia="Arial" w:hAnsi="Arial"/>
          <w:sz w:val="18"/>
          <w:szCs w:val="18"/>
          <w:b w:val="1"/>
          <w:bCs w:val="1"/>
          <w:color w:val="auto"/>
        </w:rPr>
        <w:t>Proprietary Information</w:t>
      </w:r>
      <w:r>
        <w:rPr>
          <w:rFonts w:ascii="Arial" w:cs="Arial" w:eastAsia="Arial" w:hAnsi="Arial"/>
          <w:sz w:val="18"/>
          <w:szCs w:val="18"/>
          <w:color w:val="auto"/>
        </w:rPr>
        <w:t>” shall be given its broadest possible interpretation, and shall mean and include, without limitation, all nonpublic information pertaining to with whom or how the Company, its affiliates and/or business partners conduct business. Examples of such information include, but are not limited to: (i) information related to existing or potential projects, such as research, development, stories, sources, scripts, plots, story lines, treatments; (ii) information related to Inventions (as defined below), technical information, intellectual property, trade secrets, know-how, formulas or specifications; (iii) information related to finances, business plans, operations, purchasing, marketing, sales, negotiations, contract terms, legal disputes, personnel (including information regarding special skills and compensation), budgets or costs; (iv) non-public papers, data, records, memoranda, methods, works of authorship, compilations, or documents; (v) information disclosed in private meetings or events; and (vi) any other confidential information, written, oral or electronic, whether existing now or at some time in the future, which Adviser develops, learns or obtains during the provision of Services or that are received by or for the Company in confidence.</w:t>
      </w:r>
    </w:p>
    <w:p>
      <w:pPr>
        <w:spacing w:after="0" w:line="213" w:lineRule="exact"/>
        <w:rPr>
          <w:rFonts w:ascii="Arial" w:cs="Arial" w:eastAsia="Arial" w:hAnsi="Arial"/>
          <w:sz w:val="18"/>
          <w:szCs w:val="18"/>
          <w:color w:val="auto"/>
        </w:rPr>
      </w:pPr>
    </w:p>
    <w:p>
      <w:pPr>
        <w:ind w:left="580" w:right="20"/>
        <w:spacing w:after="0" w:line="281" w:lineRule="auto"/>
        <w:rPr>
          <w:rFonts w:ascii="Arial" w:cs="Arial" w:eastAsia="Arial" w:hAnsi="Arial"/>
          <w:sz w:val="18"/>
          <w:szCs w:val="18"/>
          <w:color w:val="auto"/>
        </w:rPr>
      </w:pPr>
      <w:r>
        <w:rPr>
          <w:rFonts w:ascii="Arial" w:cs="Arial" w:eastAsia="Arial" w:hAnsi="Arial"/>
          <w:sz w:val="18"/>
          <w:szCs w:val="18"/>
          <w:color w:val="auto"/>
        </w:rPr>
        <w:t>7.2 Adviser will hold in strict confidence and not disclose or, except as expressly authorized by an appropriate officer of the Company within the scope of the Services, use, any Proprietary Information, and will not provide such Proprietary Information to anyone outside of the Company except as authorized by the Company and after execution of a confidentiality agreement by the third party with whom Proprietary Information will be shared. Adviser agrees not to copy any documents, records, files, media, or other resources containing any Proprietary Information, or to remove any such documents, records, files, media, or other resources from the premises or control of the Company. Adviser understands and acknowledges that her obligations under this Agreement regarding any particular Proprietary Information begin from the time Adviser receives Proprietary Information, regardless of whether Adviser received such content prior to provision of Services hereunder, and shall continue during and after the Services are completed until the Proprietary Information has become public knowledge other than as a result of an unauthorized disclosure.</w:t>
      </w:r>
    </w:p>
    <w:p>
      <w:pPr>
        <w:spacing w:after="0" w:line="221" w:lineRule="exact"/>
        <w:rPr>
          <w:rFonts w:ascii="Arial" w:cs="Arial" w:eastAsia="Arial" w:hAnsi="Arial"/>
          <w:sz w:val="18"/>
          <w:szCs w:val="18"/>
          <w:color w:val="auto"/>
        </w:rPr>
      </w:pPr>
    </w:p>
    <w:p>
      <w:pPr>
        <w:ind w:left="580" w:right="40"/>
        <w:spacing w:after="0" w:line="338" w:lineRule="auto"/>
        <w:rPr>
          <w:rFonts w:ascii="Arial" w:cs="Arial" w:eastAsia="Arial" w:hAnsi="Arial"/>
          <w:sz w:val="18"/>
          <w:szCs w:val="18"/>
          <w:color w:val="auto"/>
        </w:rPr>
      </w:pPr>
      <w:r>
        <w:rPr>
          <w:rFonts w:ascii="Arial" w:cs="Arial" w:eastAsia="Arial" w:hAnsi="Arial"/>
          <w:sz w:val="16"/>
          <w:szCs w:val="16"/>
          <w:color w:val="auto"/>
        </w:rPr>
        <w:t>7.3 Proprietary Information will not include information that is or becomes readily publicly available without restriction through no unauthorized act of Adviser or any other party, or that Adviser has discovered independently outside the scope of the Services. Upon termination of this Agreement, Adviser will promptly return to the Company all items containing or embodying Proprietary Information (including all copies).</w:t>
      </w:r>
    </w:p>
    <w:p>
      <w:pPr>
        <w:spacing w:after="0" w:line="177" w:lineRule="exact"/>
        <w:rPr>
          <w:rFonts w:ascii="Arial" w:cs="Arial" w:eastAsia="Arial" w:hAnsi="Arial"/>
          <w:sz w:val="18"/>
          <w:szCs w:val="18"/>
          <w:color w:val="auto"/>
        </w:rPr>
      </w:pPr>
    </w:p>
    <w:p>
      <w:pPr>
        <w:ind w:right="180" w:firstLine="9"/>
        <w:spacing w:after="0" w:line="313" w:lineRule="auto"/>
        <w:tabs>
          <w:tab w:leader="none" w:pos="567"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purposes of this Section 8, the term Company includes the Company and all other persons or entities that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controlled by or are under common control with the Company (“</w:t>
      </w:r>
      <w:r>
        <w:rPr>
          <w:rFonts w:ascii="Arial" w:cs="Arial" w:eastAsia="Arial" w:hAnsi="Arial"/>
          <w:sz w:val="18"/>
          <w:szCs w:val="18"/>
          <w:b w:val="1"/>
          <w:bCs w:val="1"/>
          <w:color w:val="auto"/>
        </w:rPr>
        <w:t>Affiliates</w:t>
      </w:r>
      <w:r>
        <w:rPr>
          <w:rFonts w:ascii="Arial" w:cs="Arial" w:eastAsia="Arial" w:hAnsi="Arial"/>
          <w:sz w:val="18"/>
          <w:szCs w:val="18"/>
          <w:color w:val="auto"/>
        </w:rPr>
        <w:t>”).</w:t>
      </w:r>
    </w:p>
    <w:p>
      <w:pPr>
        <w:spacing w:after="0" w:line="189" w:lineRule="exact"/>
        <w:rPr>
          <w:sz w:val="20"/>
          <w:szCs w:val="20"/>
          <w:color w:val="auto"/>
        </w:rPr>
      </w:pPr>
    </w:p>
    <w:p>
      <w:pPr>
        <w:ind w:left="580" w:right="180"/>
        <w:spacing w:after="0" w:line="287" w:lineRule="auto"/>
        <w:rPr>
          <w:sz w:val="20"/>
          <w:szCs w:val="20"/>
          <w:color w:val="auto"/>
        </w:rPr>
      </w:pPr>
      <w:r>
        <w:rPr>
          <w:rFonts w:ascii="Arial" w:cs="Arial" w:eastAsia="Arial" w:hAnsi="Arial"/>
          <w:sz w:val="18"/>
          <w:szCs w:val="18"/>
          <w:color w:val="auto"/>
        </w:rPr>
        <w:t>8.1 Definitions. “</w:t>
      </w:r>
      <w:r>
        <w:rPr>
          <w:rFonts w:ascii="Arial" w:cs="Arial" w:eastAsia="Arial" w:hAnsi="Arial"/>
          <w:sz w:val="18"/>
          <w:szCs w:val="18"/>
          <w:b w:val="1"/>
          <w:bCs w:val="1"/>
          <w:color w:val="auto"/>
        </w:rPr>
        <w:t>Any Capacity</w:t>
      </w:r>
      <w:r>
        <w:rPr>
          <w:rFonts w:ascii="Arial" w:cs="Arial" w:eastAsia="Arial" w:hAnsi="Arial"/>
          <w:sz w:val="18"/>
          <w:szCs w:val="18"/>
          <w:color w:val="auto"/>
        </w:rPr>
        <w:t xml:space="preserve">” includes, without limitation, to (i) be an owner, founder, shareholder, partner, member, advisor, director, consultant, contractor, agent, employee, affiliate or co-venturer, (ii) otherwise invest, engage or participate in, (iii) be compensated by or (iv) prepare to be or do any of the foregoing or assist any third party to do so;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any Capacity will not include being a holder of less than one percent (1%) of the outstanding equity of a public company.</w:t>
      </w:r>
    </w:p>
    <w:p>
      <w:pPr>
        <w:spacing w:after="0" w:line="202" w:lineRule="exact"/>
        <w:rPr>
          <w:sz w:val="20"/>
          <w:szCs w:val="20"/>
          <w:color w:val="auto"/>
        </w:rPr>
      </w:pPr>
    </w:p>
    <w:p>
      <w:pPr>
        <w:ind w:left="580" w:right="280"/>
        <w:spacing w:after="0" w:line="295" w:lineRule="auto"/>
        <w:rPr>
          <w:sz w:val="20"/>
          <w:szCs w:val="20"/>
          <w:color w:val="auto"/>
        </w:rPr>
      </w:pPr>
      <w:r>
        <w:rPr>
          <w:rFonts w:ascii="Arial" w:cs="Arial" w:eastAsia="Arial" w:hAnsi="Arial"/>
          <w:sz w:val="18"/>
          <w:szCs w:val="18"/>
          <w:color w:val="auto"/>
        </w:rPr>
        <w:t>8.2 During the term of this Agreement, Adviser will not directly or indirectly: (i) Cause any person to leave their employment with the Company; or (ii) act in Any Capacity in or with respect to any commercial activity which competes or is reasonably likely to compete with any business that the Company conducts, or demonstrably anticipates conducting.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160"/>
          </w:cols>
          <w:pgMar w:left="400" w:top="1440" w:right="339" w:bottom="1440" w:gutter="0" w:footer="0" w:header="0"/>
        </w:sectPr>
      </w:pPr>
    </w:p>
    <w:bookmarkStart w:id="55" w:name="page56"/>
    <w:bookmarkEnd w:id="55"/>
    <w:p>
      <w:pPr>
        <w:jc w:val="both"/>
        <w:ind w:left="580" w:right="120"/>
        <w:spacing w:after="0" w:line="295" w:lineRule="auto"/>
        <w:rPr>
          <w:sz w:val="20"/>
          <w:szCs w:val="20"/>
          <w:color w:val="auto"/>
        </w:rPr>
      </w:pPr>
      <w:r>
        <w:rPr>
          <w:rFonts w:ascii="Arial" w:cs="Arial" w:eastAsia="Arial" w:hAnsi="Arial"/>
          <w:sz w:val="18"/>
          <w:szCs w:val="18"/>
          <w:color w:val="auto"/>
        </w:rPr>
        <w:t>8.3 For the period of one year immediately following termination of this Agreement, Adviser will not directly or indirectly Cause any person to leave their employment with the Company. In addition, for a period with no time limitation, Adviser will not engage in any activity that involves the use or disclosure of Proprietary Information.</w:t>
      </w:r>
    </w:p>
    <w:p>
      <w:pPr>
        <w:spacing w:after="0" w:line="195" w:lineRule="exact"/>
        <w:rPr>
          <w:sz w:val="20"/>
          <w:szCs w:val="20"/>
          <w:color w:val="auto"/>
        </w:rPr>
      </w:pPr>
    </w:p>
    <w:p>
      <w:pPr>
        <w:ind w:left="580" w:right="300"/>
        <w:spacing w:after="0" w:line="295" w:lineRule="auto"/>
        <w:rPr>
          <w:sz w:val="20"/>
          <w:szCs w:val="20"/>
          <w:color w:val="auto"/>
        </w:rPr>
      </w:pPr>
      <w:r>
        <w:rPr>
          <w:rFonts w:ascii="Arial" w:cs="Arial" w:eastAsia="Arial" w:hAnsi="Arial"/>
          <w:sz w:val="18"/>
          <w:szCs w:val="18"/>
          <w:color w:val="auto"/>
        </w:rPr>
        <w:t>8.4 Adviser understands that the restrictions set forth in Sections 7 and 8 are intended to protect the Company's interest in its Proprietary Information and established relationships and goodwill with employees and agrees that such restrictions are reasonable and appropriate for this purpose.</w:t>
      </w:r>
    </w:p>
    <w:p>
      <w:pPr>
        <w:spacing w:after="0" w:line="286" w:lineRule="exact"/>
        <w:rPr>
          <w:sz w:val="20"/>
          <w:szCs w:val="20"/>
          <w:color w:val="auto"/>
        </w:rPr>
      </w:pPr>
    </w:p>
    <w:p>
      <w:pPr>
        <w:ind w:right="360" w:firstLine="9"/>
        <w:spacing w:after="0" w:line="329" w:lineRule="auto"/>
        <w:tabs>
          <w:tab w:leader="none" w:pos="567"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Conflicts.</w:t>
      </w:r>
      <w:r>
        <w:rPr>
          <w:rFonts w:ascii="Arial" w:cs="Arial" w:eastAsia="Arial" w:hAnsi="Arial"/>
          <w:sz w:val="17"/>
          <w:szCs w:val="17"/>
          <w:b w:val="1"/>
          <w:bCs w:val="1"/>
          <w:color w:val="auto"/>
        </w:rPr>
        <w:t xml:space="preserve"> </w:t>
      </w:r>
      <w:r>
        <w:rPr>
          <w:rFonts w:ascii="Arial" w:cs="Arial" w:eastAsia="Arial" w:hAnsi="Arial"/>
          <w:sz w:val="17"/>
          <w:szCs w:val="17"/>
          <w:color w:val="auto"/>
        </w:rPr>
        <w:t>The Adviser represents and warrants to the Company that the Adviser is free to enter into this Agreement and the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pursuant to this Agreement are not in conflict with any other contractual or other obligation to which Adviser is bound.</w:t>
      </w:r>
    </w:p>
    <w:p>
      <w:pPr>
        <w:spacing w:after="0" w:line="179" w:lineRule="exact"/>
        <w:rPr>
          <w:rFonts w:ascii="Arial" w:cs="Arial" w:eastAsia="Arial" w:hAnsi="Arial"/>
          <w:sz w:val="17"/>
          <w:szCs w:val="17"/>
          <w:color w:val="auto"/>
        </w:rPr>
      </w:pPr>
    </w:p>
    <w:p>
      <w:pPr>
        <w:jc w:val="both"/>
        <w:ind w:left="40" w:right="180" w:hanging="4"/>
        <w:spacing w:after="0" w:line="333" w:lineRule="auto"/>
        <w:tabs>
          <w:tab w:leader="none" w:pos="575" w:val="left"/>
        </w:tabs>
        <w:numPr>
          <w:ilvl w:val="1"/>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and other communications must be in writing and delivered to the person designated below by (a) email or (b) nationally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internationally recognized courier service or postal service, return receipt requested. Such notices will be deemed effective when received or, in the case of email notices, when the recipient acknowledges having received the email (with an automatic “read receipt” not constituting acknowledgment of an email for purposes of this Section). Notices and communications will be sent to the address last specified to the other party in writing.</w:t>
      </w:r>
    </w:p>
    <w:p>
      <w:pPr>
        <w:spacing w:after="0" w:line="180" w:lineRule="exact"/>
        <w:rPr>
          <w:rFonts w:ascii="Arial" w:cs="Arial" w:eastAsia="Arial" w:hAnsi="Arial"/>
          <w:sz w:val="16"/>
          <w:szCs w:val="16"/>
          <w:color w:val="auto"/>
        </w:rPr>
      </w:pPr>
    </w:p>
    <w:p>
      <w:pPr>
        <w:ind w:left="40" w:right="260" w:hanging="4"/>
        <w:spacing w:after="0" w:line="313" w:lineRule="auto"/>
        <w:tabs>
          <w:tab w:leader="none" w:pos="569"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made solely for the benefit of the Adviser and the Company, its shareholders, directors, and officers. No</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shall acquire or have any right under or by virtue of this Agreement.</w:t>
      </w:r>
    </w:p>
    <w:p>
      <w:pPr>
        <w:spacing w:after="0" w:line="189" w:lineRule="exact"/>
        <w:rPr>
          <w:rFonts w:ascii="Arial" w:cs="Arial" w:eastAsia="Arial" w:hAnsi="Arial"/>
          <w:sz w:val="18"/>
          <w:szCs w:val="18"/>
          <w:color w:val="auto"/>
        </w:rPr>
      </w:pPr>
    </w:p>
    <w:p>
      <w:pPr>
        <w:ind w:left="40" w:right="140" w:hanging="4"/>
        <w:spacing w:after="0" w:line="281" w:lineRule="auto"/>
        <w:tabs>
          <w:tab w:leader="none" w:pos="575"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Amendments; Severability;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and understanding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supersedes any and all previous agreements and understandings, whether oral or written, between the parties with respect to the matters set forth in this Agreement. No provision of this Agreement may be amended, modified, or waived, except in a writing signed by the parties. The invalidity or unenforceability of any provision of this Agreement shall not affect the validity or enforceability of any other provision, and if any restriction in this Agreement is found by a court to be unreasonable or unenforceable, then such court may amend or modify the restriction so it can be enforced to the fullest extent permitted by law. The section headings in this Agreement have been inserted as a matter of convenience of reference and are not a part of this Agreement. This Agreement may be executed by electronic signature in any number of counterparts, each of which together shall constitute one and the same instrument.</w:t>
      </w:r>
    </w:p>
    <w:p>
      <w:pPr>
        <w:spacing w:after="0" w:line="221" w:lineRule="exact"/>
        <w:rPr>
          <w:rFonts w:ascii="Arial" w:cs="Arial" w:eastAsia="Arial" w:hAnsi="Arial"/>
          <w:sz w:val="18"/>
          <w:szCs w:val="18"/>
          <w:color w:val="auto"/>
        </w:rPr>
      </w:pPr>
    </w:p>
    <w:p>
      <w:pPr>
        <w:ind w:left="40" w:right="40" w:hanging="5"/>
        <w:spacing w:after="0" w:line="285" w:lineRule="auto"/>
        <w:tabs>
          <w:tab w:leader="none" w:pos="575"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and construed in accordance with the laws of New York. Any and all claims,</w:t>
      </w:r>
      <w:r>
        <w:rPr>
          <w:rFonts w:ascii="Arial" w:cs="Arial" w:eastAsia="Arial" w:hAnsi="Arial"/>
          <w:sz w:val="18"/>
          <w:szCs w:val="18"/>
          <w:b w:val="1"/>
          <w:bCs w:val="1"/>
          <w:color w:val="auto"/>
        </w:rPr>
        <w:t xml:space="preserve"> </w:t>
      </w:r>
      <w:r>
        <w:rPr>
          <w:rFonts w:ascii="Arial" w:cs="Arial" w:eastAsia="Arial" w:hAnsi="Arial"/>
          <w:sz w:val="18"/>
          <w:szCs w:val="18"/>
          <w:color w:val="auto"/>
        </w:rPr>
        <w:t>controversies and causes of action arising out of or relating to this Agreement, whether sounding in contract, tort, or statute, shall be governed by the laws of the New York including its statutes of limitations, without giving effect to any conflict-of-laws rule that would result in the application of the laws of a different jurisdiction. Any action arising out of this agreement shall be brought exclusively in a court of competent jurisdiction located in New York, New York.</w:t>
      </w:r>
    </w:p>
    <w:p>
      <w:pPr>
        <w:spacing w:after="0" w:line="215" w:lineRule="exact"/>
        <w:rPr>
          <w:rFonts w:ascii="Arial" w:cs="Arial" w:eastAsia="Arial" w:hAnsi="Arial"/>
          <w:sz w:val="18"/>
          <w:szCs w:val="18"/>
          <w:color w:val="auto"/>
        </w:rPr>
      </w:pPr>
    </w:p>
    <w:p>
      <w:pPr>
        <w:ind w:left="580" w:hanging="545"/>
        <w:spacing w:after="0"/>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been duly authorized, executed and delivered by and on behalf of the Company and the Adviser.</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160"/>
          </w:cols>
          <w:pgMar w:left="400" w:top="1340" w:right="339" w:bottom="1440" w:gutter="0" w:footer="0" w:header="0"/>
        </w:sectPr>
      </w:pPr>
    </w:p>
    <w:bookmarkStart w:id="56" w:name="page57"/>
    <w:bookmarkEnd w:id="56"/>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Agreement is entered into and executed by the parties as of the dates set forth below in the State of New York.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BuzzFeed, Inc.</w:t>
      </w:r>
    </w:p>
    <w:p>
      <w:pPr>
        <w:spacing w:after="0" w:line="3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Marcela Martin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Marcela Martin</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u w:val="single" w:color="auto"/>
          <w:color w:val="auto"/>
        </w:rPr>
        <w:t>President</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u w:val="single" w:color="auto"/>
          <w:color w:val="auto"/>
        </w:rPr>
        <w:t>April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_/s/ Joan Amble______________________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Joan Amble</w:t>
      </w:r>
    </w:p>
    <w:p>
      <w:pPr>
        <w:spacing w:after="0" w:line="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u w:val="single" w:color="auto"/>
          <w:color w:val="auto"/>
        </w:rPr>
        <w:t>April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160"/>
          </w:cols>
          <w:pgMar w:left="400" w:top="1440" w:right="339" w:bottom="1440" w:gutter="0" w:footer="0" w:header="0"/>
        </w:sectPr>
      </w:pPr>
    </w:p>
    <w:bookmarkStart w:id="57" w:name="page58"/>
    <w:bookmarkEnd w:id="57"/>
    <w:p>
      <w:pPr>
        <w:spacing w:after="0" w:line="72" w:lineRule="exact"/>
        <w:rPr>
          <w:sz w:val="20"/>
          <w:szCs w:val="20"/>
          <w:color w:val="auto"/>
        </w:rPr>
      </w:pPr>
    </w:p>
    <w:p>
      <w:pPr>
        <w:ind w:left="10060"/>
        <w:spacing w:after="0"/>
        <w:rPr>
          <w:sz w:val="20"/>
          <w:szCs w:val="20"/>
          <w:color w:val="auto"/>
        </w:rPr>
      </w:pPr>
      <w:r>
        <w:rPr>
          <w:rFonts w:ascii="Arial" w:cs="Arial" w:eastAsia="Arial" w:hAnsi="Arial"/>
          <w:sz w:val="18"/>
          <w:szCs w:val="18"/>
          <w:b w:val="1"/>
          <w:bCs w:val="1"/>
          <w:color w:val="auto"/>
        </w:rPr>
        <w:t>Exhibit 10.3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JOINDER AGREEMENT TO AMENDED AND RESTATED LOAN AND SECURITY AGREEMENT</w:t>
      </w:r>
    </w:p>
    <w:p>
      <w:pPr>
        <w:spacing w:after="0" w:line="200" w:lineRule="exact"/>
        <w:rPr>
          <w:sz w:val="20"/>
          <w:szCs w:val="20"/>
          <w:color w:val="auto"/>
        </w:rPr>
      </w:pPr>
    </w:p>
    <w:p>
      <w:pPr>
        <w:spacing w:after="0" w:line="363" w:lineRule="exact"/>
        <w:rPr>
          <w:sz w:val="20"/>
          <w:szCs w:val="20"/>
          <w:color w:val="auto"/>
        </w:rPr>
      </w:pPr>
    </w:p>
    <w:p>
      <w:pPr>
        <w:jc w:val="both"/>
        <w:ind w:left="20" w:right="100" w:firstLine="647"/>
        <w:spacing w:after="0" w:line="278" w:lineRule="auto"/>
        <w:rPr>
          <w:sz w:val="20"/>
          <w:szCs w:val="20"/>
          <w:color w:val="auto"/>
        </w:rPr>
      </w:pPr>
      <w:r>
        <w:rPr>
          <w:rFonts w:ascii="Arial" w:cs="Arial" w:eastAsia="Arial" w:hAnsi="Arial"/>
          <w:sz w:val="17"/>
          <w:szCs w:val="17"/>
          <w:color w:val="auto"/>
        </w:rPr>
        <w:t>This Joinder Agreement to Amended and Restated Loan and Security Agreement, dated as of May , 2023 (this “</w:t>
      </w:r>
      <w:r>
        <w:rPr>
          <w:rFonts w:ascii="Arial" w:cs="Arial" w:eastAsia="Arial" w:hAnsi="Arial"/>
          <w:sz w:val="17"/>
          <w:szCs w:val="17"/>
          <w:b w:val="1"/>
          <w:bCs w:val="1"/>
          <w:color w:val="auto"/>
        </w:rPr>
        <w:t>Agreement</w:t>
      </w:r>
      <w:r>
        <w:rPr>
          <w:rFonts w:ascii="Arial" w:cs="Arial" w:eastAsia="Arial" w:hAnsi="Arial"/>
          <w:sz w:val="17"/>
          <w:szCs w:val="17"/>
          <w:color w:val="auto"/>
        </w:rPr>
        <w:t>”), between BUZZFEED MEDIA ENTERPRISES, INC., a Delaware corporation (the “</w:t>
      </w:r>
      <w:r>
        <w:rPr>
          <w:rFonts w:ascii="Arial" w:cs="Arial" w:eastAsia="Arial" w:hAnsi="Arial"/>
          <w:sz w:val="17"/>
          <w:szCs w:val="17"/>
          <w:b w:val="1"/>
          <w:bCs w:val="1"/>
          <w:color w:val="auto"/>
        </w:rPr>
        <w:t>Administrative Borrower</w:t>
      </w:r>
      <w:r>
        <w:rPr>
          <w:rFonts w:ascii="Arial" w:cs="Arial" w:eastAsia="Arial" w:hAnsi="Arial"/>
          <w:sz w:val="17"/>
          <w:szCs w:val="17"/>
          <w:color w:val="auto"/>
        </w:rPr>
        <w:t>”), BUZZFEED FC, INC., a Delaware corporation (“</w:t>
      </w:r>
      <w:r>
        <w:rPr>
          <w:rFonts w:ascii="Arial" w:cs="Arial" w:eastAsia="Arial" w:hAnsi="Arial"/>
          <w:sz w:val="17"/>
          <w:szCs w:val="17"/>
          <w:b w:val="1"/>
          <w:bCs w:val="1"/>
          <w:color w:val="auto"/>
        </w:rPr>
        <w:t>BuzzFeed FC</w:t>
      </w:r>
      <w:r>
        <w:rPr>
          <w:rFonts w:ascii="Arial" w:cs="Arial" w:eastAsia="Arial" w:hAnsi="Arial"/>
          <w:sz w:val="17"/>
          <w:szCs w:val="17"/>
          <w:color w:val="auto"/>
        </w:rPr>
        <w:t>”), BF ACQUISITION HOLDING CORP., a Delaware corporation (“</w:t>
      </w:r>
      <w:r>
        <w:rPr>
          <w:rFonts w:ascii="Arial" w:cs="Arial" w:eastAsia="Arial" w:hAnsi="Arial"/>
          <w:sz w:val="17"/>
          <w:szCs w:val="17"/>
          <w:b w:val="1"/>
          <w:bCs w:val="1"/>
          <w:color w:val="auto"/>
        </w:rPr>
        <w:t>BF Acquisition Holding</w:t>
      </w:r>
      <w:r>
        <w:rPr>
          <w:rFonts w:ascii="Arial" w:cs="Arial" w:eastAsia="Arial" w:hAnsi="Arial"/>
          <w:sz w:val="17"/>
          <w:szCs w:val="17"/>
          <w:color w:val="auto"/>
        </w:rPr>
        <w:t>”), BUZZFEED MOTION PICTURES, INC. a Delaware corporation (“</w:t>
      </w:r>
      <w:r>
        <w:rPr>
          <w:rFonts w:ascii="Arial" w:cs="Arial" w:eastAsia="Arial" w:hAnsi="Arial"/>
          <w:sz w:val="17"/>
          <w:szCs w:val="17"/>
          <w:b w:val="1"/>
          <w:bCs w:val="1"/>
          <w:color w:val="auto"/>
        </w:rPr>
        <w:t>BuzzFeed Motion Picture</w:t>
      </w:r>
      <w:r>
        <w:rPr>
          <w:rFonts w:ascii="Arial" w:cs="Arial" w:eastAsia="Arial" w:hAnsi="Arial"/>
          <w:sz w:val="17"/>
          <w:szCs w:val="17"/>
          <w:color w:val="auto"/>
        </w:rPr>
        <w:t>”), ET ACQUISITION SUB, INC., a Delaware corporation (“</w:t>
      </w:r>
      <w:r>
        <w:rPr>
          <w:rFonts w:ascii="Arial" w:cs="Arial" w:eastAsia="Arial" w:hAnsi="Arial"/>
          <w:sz w:val="17"/>
          <w:szCs w:val="17"/>
          <w:b w:val="1"/>
          <w:bCs w:val="1"/>
          <w:color w:val="auto"/>
        </w:rPr>
        <w:t>ET Acquisition Sub</w:t>
      </w:r>
      <w:r>
        <w:rPr>
          <w:rFonts w:ascii="Arial" w:cs="Arial" w:eastAsia="Arial" w:hAnsi="Arial"/>
          <w:sz w:val="17"/>
          <w:szCs w:val="17"/>
          <w:color w:val="auto"/>
        </w:rPr>
        <w:t>”), ET HOLDINGS ACQUISITION CORP., a Delaware corporation (“</w:t>
      </w:r>
      <w:r>
        <w:rPr>
          <w:rFonts w:ascii="Arial" w:cs="Arial" w:eastAsia="Arial" w:hAnsi="Arial"/>
          <w:sz w:val="17"/>
          <w:szCs w:val="17"/>
          <w:b w:val="1"/>
          <w:bCs w:val="1"/>
          <w:color w:val="auto"/>
        </w:rPr>
        <w:t>ET Holdings</w:t>
      </w:r>
      <w:r>
        <w:rPr>
          <w:rFonts w:ascii="Arial" w:cs="Arial" w:eastAsia="Arial" w:hAnsi="Arial"/>
          <w:sz w:val="17"/>
          <w:szCs w:val="17"/>
          <w:color w:val="auto"/>
        </w:rPr>
        <w:t>”), LEXLAND STUDIOS, INC., a Delaware corporation (“</w:t>
      </w:r>
      <w:r>
        <w:rPr>
          <w:rFonts w:ascii="Arial" w:cs="Arial" w:eastAsia="Arial" w:hAnsi="Arial"/>
          <w:sz w:val="17"/>
          <w:szCs w:val="17"/>
          <w:b w:val="1"/>
          <w:bCs w:val="1"/>
          <w:color w:val="auto"/>
        </w:rPr>
        <w:t>Lexland</w:t>
      </w:r>
      <w:r>
        <w:rPr>
          <w:rFonts w:ascii="Arial" w:cs="Arial" w:eastAsia="Arial" w:hAnsi="Arial"/>
          <w:sz w:val="17"/>
          <w:szCs w:val="17"/>
          <w:color w:val="auto"/>
        </w:rPr>
        <w:t xml:space="preserve"> </w:t>
      </w:r>
      <w:r>
        <w:rPr>
          <w:rFonts w:ascii="Arial" w:cs="Arial" w:eastAsia="Arial" w:hAnsi="Arial"/>
          <w:sz w:val="17"/>
          <w:szCs w:val="17"/>
          <w:b w:val="1"/>
          <w:bCs w:val="1"/>
          <w:color w:val="auto"/>
        </w:rPr>
        <w:t>Studios</w:t>
      </w:r>
      <w:r>
        <w:rPr>
          <w:rFonts w:ascii="Arial" w:cs="Arial" w:eastAsia="Arial" w:hAnsi="Arial"/>
          <w:sz w:val="17"/>
          <w:szCs w:val="17"/>
          <w:color w:val="auto"/>
        </w:rPr>
        <w:t>”), and PRODUCT LABS, INC., a Delaware corporation (“</w:t>
      </w:r>
      <w:r>
        <w:rPr>
          <w:rFonts w:ascii="Arial" w:cs="Arial" w:eastAsia="Arial" w:hAnsi="Arial"/>
          <w:sz w:val="17"/>
          <w:szCs w:val="17"/>
          <w:b w:val="1"/>
          <w:bCs w:val="1"/>
          <w:color w:val="auto"/>
        </w:rPr>
        <w:t>Product Labs</w:t>
      </w:r>
      <w:r>
        <w:rPr>
          <w:rFonts w:ascii="Arial" w:cs="Arial" w:eastAsia="Arial" w:hAnsi="Arial"/>
          <w:sz w:val="17"/>
          <w:szCs w:val="17"/>
          <w:color w:val="auto"/>
        </w:rPr>
        <w:t>”), BUZZFEED, INC., a Delaware corporation (“</w:t>
      </w:r>
      <w:r>
        <w:rPr>
          <w:rFonts w:ascii="Arial" w:cs="Arial" w:eastAsia="Arial" w:hAnsi="Arial"/>
          <w:sz w:val="17"/>
          <w:szCs w:val="17"/>
          <w:b w:val="1"/>
          <w:bCs w:val="1"/>
          <w:color w:val="auto"/>
        </w:rPr>
        <w:t>BuzzFeed Inc.</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THEHUFFINGTONPOST.COM, INC., a Delaware corporation (“</w:t>
      </w:r>
      <w:r>
        <w:rPr>
          <w:rFonts w:ascii="Arial" w:cs="Arial" w:eastAsia="Arial" w:hAnsi="Arial"/>
          <w:sz w:val="17"/>
          <w:szCs w:val="17"/>
          <w:b w:val="1"/>
          <w:bCs w:val="1"/>
          <w:color w:val="auto"/>
        </w:rPr>
        <w:t>HuffPo</w:t>
      </w:r>
      <w:r>
        <w:rPr>
          <w:rFonts w:ascii="Arial" w:cs="Arial" w:eastAsia="Arial" w:hAnsi="Arial"/>
          <w:sz w:val="17"/>
          <w:szCs w:val="17"/>
          <w:color w:val="auto"/>
        </w:rPr>
        <w:t>”), COMPLEX MEDIA, INC., a Delaware corporation (“</w:t>
      </w:r>
      <w:r>
        <w:rPr>
          <w:rFonts w:ascii="Arial" w:cs="Arial" w:eastAsia="Arial" w:hAnsi="Arial"/>
          <w:sz w:val="17"/>
          <w:szCs w:val="17"/>
          <w:b w:val="1"/>
          <w:bCs w:val="1"/>
          <w:color w:val="auto"/>
        </w:rPr>
        <w:t>Complex</w:t>
      </w:r>
      <w:r>
        <w:rPr>
          <w:rFonts w:ascii="Arial" w:cs="Arial" w:eastAsia="Arial" w:hAnsi="Arial"/>
          <w:sz w:val="17"/>
          <w:szCs w:val="17"/>
          <w:color w:val="auto"/>
        </w:rPr>
        <w:t>”), CM PARTNERS, LLC, a Delaware limited liability company (“</w:t>
      </w:r>
      <w:r>
        <w:rPr>
          <w:rFonts w:ascii="Arial" w:cs="Arial" w:eastAsia="Arial" w:hAnsi="Arial"/>
          <w:sz w:val="17"/>
          <w:szCs w:val="17"/>
          <w:b w:val="1"/>
          <w:bCs w:val="1"/>
          <w:color w:val="auto"/>
        </w:rPr>
        <w:t>CM Partners</w:t>
      </w:r>
      <w:r>
        <w:rPr>
          <w:rFonts w:ascii="Arial" w:cs="Arial" w:eastAsia="Arial" w:hAnsi="Arial"/>
          <w:sz w:val="17"/>
          <w:szCs w:val="17"/>
          <w:color w:val="auto"/>
        </w:rPr>
        <w:t>”, and together with the Administrative Borrower, BuzzFeed FC, BF Acquisition Holding, BuzzFeed Motion Picture, ET Acquisition Sub, ET Holdings, Lexland Studios, Product Labs, BuzzFeed Inc., HuffPo and Complex, the “</w:t>
      </w:r>
      <w:r>
        <w:rPr>
          <w:rFonts w:ascii="Arial" w:cs="Arial" w:eastAsia="Arial" w:hAnsi="Arial"/>
          <w:sz w:val="17"/>
          <w:szCs w:val="17"/>
          <w:b w:val="1"/>
          <w:bCs w:val="1"/>
          <w:color w:val="auto"/>
        </w:rPr>
        <w:t>Existing Borrowers</w:t>
      </w:r>
      <w:r>
        <w:rPr>
          <w:rFonts w:ascii="Arial" w:cs="Arial" w:eastAsia="Arial" w:hAnsi="Arial"/>
          <w:sz w:val="17"/>
          <w:szCs w:val="17"/>
          <w:color w:val="auto"/>
        </w:rPr>
        <w:t>”), BuzzFeed Canada, Inc., a corporation duly incorporated under the Business Corporations Act (New Brunswick) (the “</w:t>
      </w:r>
      <w:r>
        <w:rPr>
          <w:rFonts w:ascii="Arial" w:cs="Arial" w:eastAsia="Arial" w:hAnsi="Arial"/>
          <w:sz w:val="17"/>
          <w:szCs w:val="17"/>
          <w:b w:val="1"/>
          <w:bCs w:val="1"/>
          <w:color w:val="auto"/>
        </w:rPr>
        <w:t>New Borrower</w:t>
      </w:r>
      <w:r>
        <w:rPr>
          <w:rFonts w:ascii="Arial" w:cs="Arial" w:eastAsia="Arial" w:hAnsi="Arial"/>
          <w:sz w:val="17"/>
          <w:szCs w:val="17"/>
          <w:color w:val="auto"/>
        </w:rPr>
        <w:t>”, and together with the Existing Borrowers, on a joint and several liability, the “</w:t>
      </w:r>
      <w:r>
        <w:rPr>
          <w:rFonts w:ascii="Arial" w:cs="Arial" w:eastAsia="Arial" w:hAnsi="Arial"/>
          <w:sz w:val="17"/>
          <w:szCs w:val="17"/>
          <w:b w:val="1"/>
          <w:bCs w:val="1"/>
          <w:color w:val="auto"/>
        </w:rPr>
        <w:t>Borrowers</w:t>
      </w:r>
      <w:r>
        <w:rPr>
          <w:rFonts w:ascii="Arial" w:cs="Arial" w:eastAsia="Arial" w:hAnsi="Arial"/>
          <w:sz w:val="17"/>
          <w:szCs w:val="17"/>
          <w:color w:val="auto"/>
        </w:rPr>
        <w:t>”), the Guarantors named thereto in that certain Amended and Restated Loan and Security Agreement dated as of December 3, 2021, as amended by that First Amendment to the Amended and Restated Loan and Security Agreement dated as of December 15, 2022 (the “</w:t>
      </w:r>
      <w:r>
        <w:rPr>
          <w:rFonts w:ascii="Arial" w:cs="Arial" w:eastAsia="Arial" w:hAnsi="Arial"/>
          <w:sz w:val="17"/>
          <w:szCs w:val="17"/>
          <w:b w:val="1"/>
          <w:bCs w:val="1"/>
          <w:color w:val="auto"/>
        </w:rPr>
        <w:t>Loan Agreement</w:t>
      </w:r>
      <w:r>
        <w:rPr>
          <w:rFonts w:ascii="Arial" w:cs="Arial" w:eastAsia="Arial" w:hAnsi="Arial"/>
          <w:sz w:val="17"/>
          <w:szCs w:val="17"/>
          <w:color w:val="auto"/>
        </w:rPr>
        <w:t>”), the lenders from time to time party hereto (such lenders, together with their respective successors and permitted assigns, are referred to hereinafter collectively as the “</w:t>
      </w:r>
      <w:r>
        <w:rPr>
          <w:rFonts w:ascii="Arial" w:cs="Arial" w:eastAsia="Arial" w:hAnsi="Arial"/>
          <w:sz w:val="17"/>
          <w:szCs w:val="17"/>
          <w:b w:val="1"/>
          <w:bCs w:val="1"/>
          <w:color w:val="auto"/>
        </w:rPr>
        <w:t>Lenders</w:t>
      </w:r>
      <w:r>
        <w:rPr>
          <w:rFonts w:ascii="Arial" w:cs="Arial" w:eastAsia="Arial" w:hAnsi="Arial"/>
          <w:sz w:val="17"/>
          <w:szCs w:val="17"/>
          <w:color w:val="auto"/>
        </w:rPr>
        <w:t>” and each as a “</w:t>
      </w:r>
      <w:r>
        <w:rPr>
          <w:rFonts w:ascii="Arial" w:cs="Arial" w:eastAsia="Arial" w:hAnsi="Arial"/>
          <w:sz w:val="17"/>
          <w:szCs w:val="17"/>
          <w:b w:val="1"/>
          <w:bCs w:val="1"/>
          <w:color w:val="auto"/>
        </w:rPr>
        <w:t>Lender</w:t>
      </w:r>
      <w:r>
        <w:rPr>
          <w:rFonts w:ascii="Arial" w:cs="Arial" w:eastAsia="Arial" w:hAnsi="Arial"/>
          <w:sz w:val="17"/>
          <w:szCs w:val="17"/>
          <w:color w:val="auto"/>
        </w:rPr>
        <w:t>) and WHITE OAK COMMERCIAL FINANCE, LLC, a Delaware limited liability company (together with its permitted successors and assigns, in its individual capacity, “</w:t>
      </w:r>
      <w:r>
        <w:rPr>
          <w:rFonts w:ascii="Arial" w:cs="Arial" w:eastAsia="Arial" w:hAnsi="Arial"/>
          <w:sz w:val="17"/>
          <w:szCs w:val="17"/>
          <w:b w:val="1"/>
          <w:bCs w:val="1"/>
          <w:color w:val="auto"/>
        </w:rPr>
        <w:t>White Oak</w:t>
      </w:r>
      <w:r>
        <w:rPr>
          <w:rFonts w:ascii="Arial" w:cs="Arial" w:eastAsia="Arial" w:hAnsi="Arial"/>
          <w:sz w:val="17"/>
          <w:szCs w:val="17"/>
          <w:color w:val="auto"/>
        </w:rPr>
        <w:t>”), as administrative and collateral agent (in such capacity, and including its successors and permitted assigns in such capacity,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for the Lender Parties and as Swing Lenders. All capitalized terms used but not otherwise defined herein shall have the respective meaning assigned thereto in the Loan Agreement.</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RECITALS</w:t>
      </w:r>
    </w:p>
    <w:p>
      <w:pPr>
        <w:spacing w:after="0" w:line="144" w:lineRule="exact"/>
        <w:rPr>
          <w:sz w:val="20"/>
          <w:szCs w:val="20"/>
          <w:color w:val="auto"/>
        </w:rPr>
      </w:pPr>
    </w:p>
    <w:p>
      <w:pPr>
        <w:jc w:val="both"/>
        <w:ind w:left="20" w:right="100" w:firstLine="647"/>
        <w:spacing w:after="0" w:line="279" w:lineRule="auto"/>
        <w:rPr>
          <w:sz w:val="20"/>
          <w:szCs w:val="20"/>
          <w:color w:val="auto"/>
        </w:rPr>
      </w:pPr>
      <w:r>
        <w:rPr>
          <w:rFonts w:ascii="Arial" w:cs="Arial" w:eastAsia="Arial" w:hAnsi="Arial"/>
          <w:sz w:val="18"/>
          <w:szCs w:val="18"/>
          <w:color w:val="auto"/>
        </w:rPr>
        <w:t>WHEREAS, White Oak, in its capacity as Administrative Agent, the Lenders from time to time party thereto, and the Existing Borrowers are parties to the Loan Agreement, amending and restating that certain Loan and Security Agreement, dated as of December 30, 2020 (the “</w:t>
      </w:r>
      <w:r>
        <w:rPr>
          <w:rFonts w:ascii="Arial" w:cs="Arial" w:eastAsia="Arial" w:hAnsi="Arial"/>
          <w:sz w:val="18"/>
          <w:szCs w:val="18"/>
          <w:b w:val="1"/>
          <w:bCs w:val="1"/>
          <w:color w:val="auto"/>
        </w:rPr>
        <w:t>Original 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the intent of the parties hereto that the New Borrower hereby join as a Borrower under the Loan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400" w:top="1440" w:right="339" w:bottom="1440" w:gutter="0" w:footer="0" w:header="0"/>
        </w:sectPr>
      </w:pPr>
    </w:p>
    <w:bookmarkStart w:id="58" w:name="page59"/>
    <w:bookmarkEnd w:id="58"/>
    <w:p>
      <w:pPr>
        <w:spacing w:after="0" w:line="211" w:lineRule="exact"/>
        <w:rPr>
          <w:sz w:val="20"/>
          <w:szCs w:val="20"/>
          <w:color w:val="auto"/>
        </w:rPr>
      </w:pPr>
    </w:p>
    <w:p>
      <w:pPr>
        <w:jc w:val="both"/>
        <w:ind w:left="20" w:firstLine="647"/>
        <w:spacing w:after="0" w:line="271" w:lineRule="auto"/>
        <w:rPr>
          <w:sz w:val="20"/>
          <w:szCs w:val="20"/>
          <w:color w:val="auto"/>
        </w:rPr>
      </w:pPr>
      <w:r>
        <w:rPr>
          <w:rFonts w:ascii="Arial" w:cs="Arial" w:eastAsia="Arial" w:hAnsi="Arial"/>
          <w:sz w:val="18"/>
          <w:szCs w:val="18"/>
          <w:color w:val="auto"/>
        </w:rPr>
        <w:t>WHEREAS, to induce the Administrative Agent and the Lenders to continue to make loans or otherwise extend credit or other financial accommodations from time to time, the Administrative Agent has required and New Borrower has agreed, to execute this Agreement in order to become a “Borrower” under the Loan Agreement and the other Loan Documents.</w:t>
      </w:r>
    </w:p>
    <w:p>
      <w:pPr>
        <w:spacing w:after="0" w:line="200" w:lineRule="exact"/>
        <w:rPr>
          <w:sz w:val="20"/>
          <w:szCs w:val="20"/>
          <w:color w:val="auto"/>
        </w:rPr>
      </w:pPr>
    </w:p>
    <w:p>
      <w:pPr>
        <w:spacing w:after="0" w:line="260" w:lineRule="exact"/>
        <w:rPr>
          <w:sz w:val="20"/>
          <w:szCs w:val="20"/>
          <w:color w:val="auto"/>
        </w:rPr>
      </w:pPr>
    </w:p>
    <w:p>
      <w:pPr>
        <w:jc w:val="both"/>
        <w:ind w:left="20" w:right="20" w:firstLine="647"/>
        <w:spacing w:after="0" w:line="293" w:lineRule="auto"/>
        <w:rPr>
          <w:sz w:val="20"/>
          <w:szCs w:val="20"/>
          <w:color w:val="auto"/>
        </w:rPr>
      </w:pPr>
      <w:r>
        <w:rPr>
          <w:rFonts w:ascii="Arial" w:cs="Arial" w:eastAsia="Arial" w:hAnsi="Arial"/>
          <w:sz w:val="18"/>
          <w:szCs w:val="18"/>
          <w:color w:val="auto"/>
        </w:rPr>
        <w:t>NOW, THEREFORE, in consideration of the mutual covenants and agreements herein contained, the parties hereto agree to amend the Loan Agreement as follows: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AGREEMENT</w:t>
      </w:r>
    </w:p>
    <w:p>
      <w:pPr>
        <w:spacing w:after="0" w:line="131" w:lineRule="exact"/>
        <w:rPr>
          <w:sz w:val="20"/>
          <w:szCs w:val="20"/>
          <w:color w:val="auto"/>
        </w:rPr>
      </w:pPr>
    </w:p>
    <w:p>
      <w:pPr>
        <w:ind w:left="340" w:hanging="323"/>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Joinder to the Loan Agreement; Grant of Security Interest.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20" w:firstLine="645"/>
        <w:spacing w:after="0" w:line="300" w:lineRule="auto"/>
        <w:tabs>
          <w:tab w:leader="none" w:pos="122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Joinder of a New Borrower.</w:t>
      </w:r>
      <w:r>
        <w:rPr>
          <w:rFonts w:ascii="Arial" w:cs="Arial" w:eastAsia="Arial" w:hAnsi="Arial"/>
          <w:sz w:val="16"/>
          <w:szCs w:val="16"/>
          <w:color w:val="auto"/>
        </w:rPr>
        <w:t xml:space="preserve"> New Borrower will hereby join in and is and shall be deemed to be a Borrower and a Loan Party under the Loan Agreement and the other applicable Loan Documents. New Borrower hereby assume all obligations of (i) a Borrower under the Loan Agreement and the other Loan Documents, including all Obligations existing under the Original Loan Agreement, and (ii) a Borrower and Loan Party under each of the other Loan Documents to which any Borrower is a party, and New Borrower shall perform, comply with and be subject to and be bound by each of the terms, agreements, covenants and conditions of the Loan Agreement and each of the other applicable Loan Documents, on a joint and several basis with the existing Loan Parties party thereto, as such with the same force and effect as if it were an original party thereto. Without limiting the generality of the foregoing, New Borrower hereby represents and warrants that it has heretofore received a true and correct copy of the Loan Agreement, the Original Loan Agreement, and each of the other Loan Documents (including any amendments, revisions, modifications, supplements or waivers thereto) as in effect on the Joinder Effective Date. The parties hereto agree that each reference in the Loan Agreement and the other Loan Documents to “Borrower,” “Borrowers,” “Loan Party,” “Loan Parties” or terms of similar import shall be deemed to include New Borrower.</w:t>
      </w:r>
    </w:p>
    <w:p>
      <w:pPr>
        <w:spacing w:after="0" w:line="197" w:lineRule="exact"/>
        <w:rPr>
          <w:rFonts w:ascii="Arial" w:cs="Arial" w:eastAsia="Arial" w:hAnsi="Arial"/>
          <w:sz w:val="16"/>
          <w:szCs w:val="16"/>
          <w:color w:val="auto"/>
        </w:rPr>
      </w:pPr>
    </w:p>
    <w:p>
      <w:pPr>
        <w:jc w:val="both"/>
        <w:ind w:left="20" w:firstLine="645"/>
        <w:spacing w:after="0" w:line="279" w:lineRule="auto"/>
        <w:tabs>
          <w:tab w:leader="none" w:pos="1220"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To secure the prompt and complete payment and performance when due (whether at stated maturity, by acceleration or otherwise) of all of its Obligations as a Borrower, New Borrower hereby grants and assigns, mortgages, charges, hypothecates and pledges to the Administrative Agent, for the benefit of itself and the Lenders, a first priority lien on and security interest in (subject only to Permitted Liens on Collateral other than Receivables) all of its right, title and interest in and to all the Collateral and all other personal property, wherever located, whether now owned or hereafter acquired and all additions and accessions thereto and substitutions and replacements therefor and improvements thereon, and all proceeds (whether in the form of cash or other property) and products thereof including, without limitation, all proceeds of insurance covering the same and all tort claims in connection therewith, whether or not such Collateral is subject to the PPSA. This Agreement shall constitute a security agreement for purposes of the PPSA. Notwithstanding the above, Collateral shall not include any consumer goods. The New Borrower hereby confirms that value has been given by Lenders to such New Borrower, that such New Borrower has rights in its Collateral existing at the date of this Joinder Agreement, and that the New Borrower and the Agent and the Lenders have not agreed to postpone the time for attachment of the security interest to any of the Collateral of such New Borrower. The security interest with respect to the Collateral of the New Borrower created by this Joinder Agreement shall have effect and be deemed to be effective whether or not the Obligations or any part thereof are owing or in existence before or after or upon the date of this Joinder Agreement.</w:t>
      </w:r>
    </w:p>
    <w:p>
      <w:pPr>
        <w:spacing w:after="0" w:line="218" w:lineRule="exact"/>
        <w:rPr>
          <w:rFonts w:ascii="Arial" w:cs="Arial" w:eastAsia="Arial" w:hAnsi="Arial"/>
          <w:sz w:val="17"/>
          <w:szCs w:val="17"/>
          <w:color w:val="auto"/>
        </w:rPr>
      </w:pPr>
    </w:p>
    <w:p>
      <w:pPr>
        <w:jc w:val="both"/>
        <w:ind w:left="20" w:firstLine="645"/>
        <w:spacing w:after="0" w:line="271" w:lineRule="auto"/>
        <w:tabs>
          <w:tab w:leader="none" w:pos="122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Existing Definitions</w:t>
      </w:r>
      <w:r>
        <w:rPr>
          <w:rFonts w:ascii="Arial" w:cs="Arial" w:eastAsia="Arial" w:hAnsi="Arial"/>
          <w:sz w:val="18"/>
          <w:szCs w:val="18"/>
          <w:color w:val="auto"/>
        </w:rPr>
        <w:t>. The following terms previously defined in section 1.1 of the Loan Agreement shall be amended and restated in their entirety as set forth below and in the Loan Agreement shall be deemed and hereby are amended to include, in addition to and not in limitation of all other definitions, in the proper alphabetical order, the following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60"/>
          </w:cols>
          <w:pgMar w:left="400" w:top="1440" w:right="439" w:bottom="1440" w:gutter="0" w:footer="0" w:header="0"/>
        </w:sectPr>
      </w:pPr>
    </w:p>
    <w:bookmarkStart w:id="59" w:name="page60"/>
    <w:bookmarkEnd w:id="59"/>
    <w:p>
      <w:pPr>
        <w:spacing w:after="0" w:line="36" w:lineRule="exact"/>
        <w:rPr>
          <w:sz w:val="20"/>
          <w:szCs w:val="20"/>
          <w:color w:val="auto"/>
        </w:rPr>
      </w:pPr>
    </w:p>
    <w:p>
      <w:pPr>
        <w:jc w:val="both"/>
        <w:ind w:left="20" w:hanging="2"/>
        <w:spacing w:after="0" w:line="279" w:lineRule="auto"/>
        <w:tabs>
          <w:tab w:leader="none" w:pos="574"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“Excluded Taxes”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amounts with respect to such Taxes were payable either to such Lender’s assignor immediately before such Lender became a party hereto or to such Lender immediately before it changed its lending office, (c) Taxes attributable to such Recipient’s failure to comply with Section 4.9(e), and (d) any U.S. Federal withholding Taxes imposed under FATCA and (e) any withholding Taxes imposed on amounts paid or credited to or for the account of a Recipient as a result of a Recipient not dealing at arm’s length (within the meaning of the Income Tax Act (Canada)) with a Loan Party, being a “specified non-resident shareholder” (as defined in subsection 18(5) of the Income Tax Act (Canada)) of a Loan Party, or not dealing at arm’s length with a “specified shareholder” (as defined in subsection 18(5) of the Income Tax Act (Canada)) of a Loan Party.</w:t>
      </w:r>
    </w:p>
    <w:p>
      <w:pPr>
        <w:spacing w:after="0" w:line="110" w:lineRule="exact"/>
        <w:rPr>
          <w:rFonts w:ascii="Arial" w:cs="Arial" w:eastAsia="Arial" w:hAnsi="Arial"/>
          <w:sz w:val="17"/>
          <w:szCs w:val="17"/>
          <w:color w:val="auto"/>
        </w:rPr>
      </w:pPr>
    </w:p>
    <w:p>
      <w:pPr>
        <w:jc w:val="both"/>
        <w:ind w:left="20" w:hanging="2"/>
        <w:spacing w:after="0" w:line="295" w:lineRule="auto"/>
        <w:tabs>
          <w:tab w:leader="none" w:pos="5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“Permitted Liens” means such of the following as to which no enforcement, collection, execution, levy or foreclosure proceeding shall have been commenced and be continuing (unless such enforcement, collection, levy or foreclosure is being contested by the applicable Loan Party in good faith by appropriate proceedings diligently conducted and for which adequate reserves are being maintained in accordance with GAAP): (i) Liens created hereunder and by the Security Documents; (ii) Liens existing on the Closing Date and listed on Schedule 7.2(i); (iii) Liens securing Indebtedness permitted by Section 7.2(a)(iv) incurred to finance the acquisition of fixed or capital assets, provided that (A) such Liens shall be created substantially simultaneously with the acquisition of such assets, (B) such Liens do not at any time encumber any assets other than the assets financed by such Indebtedness, (C) such Liens are not modified to secure other Indebtedness and the amount of Indebtedness secured thereby is not increased and (D) the principal amount of Indebtedness secured by any such Lien shall at no time exceed the original purchase price of such assets; (iv) Liens for taxes, assessments and other governmental charges or levies or the claims or demands of landlords, carriers, warehousemen, mechanics, laborers, materialmen and other like Persons arising by operation of law in the ordinary course of business for sums which are not yet due and payable; (v) deposits or pledges (other than Liens on Receivables of a Loan Party) to secure the payment of worker’s compensation, unemployment insurance or other social security benefits or obligations, public or statutory obligations, surety or appeal bonds, bid or performance bonds, leases (other than Indebtedness), surety, stay, customers, indemnity or other obligations of a like nature incurred in the ordinary course of business; (vi) (a) inchoate Liens arising under ERISA to secure current service pension liabilities as they are incurred under the provisions of employee benefit plans from time to time in effect; or (b) statutory Liens or deemed trusts in respect of contributions to a “registered pension plan”, as defined in subsection 248(1) of the Income Tax Act (Canada), that is sponsored, administered, or contributed to by any Loan Party that are (x) not yet due; or (y) immaterial and inadvertently delinquent by a Loan Party as a result of reasonable error, provided that any contribution arrears described in this (y) are rectified within thirty (30) days of the Loan Party becoming aware thereof; (vii) judgment Liens that have not otherwise resulted in an Event of Default; (viii) easements, rights-of-way, zoning restrictions, minor defects or irregularities in title and other similar encumbrances not interfering in any material respect with the value or use of the property to which such Lien is attached; (ix) Liens for Taxes, assessments or other governmental charges or levies not yet due and payable, or the non- payment of which is permitted under this Agreement; (x) Liens arising in the ordinary course of business by virtue of any contractual, statutory or common law provision relating to banker’s Liens, rights of set-off or similar rights and remedies covering deposit or securities accounts (including funds or other assets credited thereto) or other funds maintained with a depository institution or securities intermediary; (xi) any interest or title of a lessor, licensor, sublicensor or sublessor under any lease, license, sublicense or sublease entered into by any such Loan Party or Subsidiary in the ordinary course of its business and covering only the assets so leased, or subleased; (xii) leases, subleases, and non-exclusive licenses or sublicenses, in each case, granted in the ordinary course of business, and licenses and sublicenses that may be exclusive that are limited in scope and geography,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60"/>
          </w:cols>
          <w:pgMar w:left="400" w:top="1440" w:right="439" w:bottom="1440" w:gutter="0" w:footer="0" w:header="0"/>
        </w:sectPr>
      </w:pPr>
    </w:p>
    <w:bookmarkStart w:id="60" w:name="page61"/>
    <w:bookmarkEnd w:id="60"/>
    <w:p>
      <w:pPr>
        <w:spacing w:after="0" w:line="36"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 xml:space="preserve">for such consideration as is deemed to be fair by Borrower in the ordinary course of business; (xiii) precautionary Uniform Commercial Code or PPSA filings made by a lessor pursuant to an operating lease of a Loan Party entered into in the ordinary course of business; (xiv) Liens of sellers of goods to such Person arising under Article II of the Code or similar provisions of applicable law, including Section 81.1 of the </w:t>
      </w:r>
      <w:r>
        <w:rPr>
          <w:rFonts w:ascii="Arial" w:cs="Arial" w:eastAsia="Arial" w:hAnsi="Arial"/>
          <w:sz w:val="16"/>
          <w:szCs w:val="16"/>
          <w:i w:val="1"/>
          <w:iCs w:val="1"/>
          <w:color w:val="auto"/>
        </w:rPr>
        <w:t>Bankruptcy Insolvency Act</w:t>
      </w:r>
      <w:r>
        <w:rPr>
          <w:rFonts w:ascii="Arial" w:cs="Arial" w:eastAsia="Arial" w:hAnsi="Arial"/>
          <w:sz w:val="16"/>
          <w:szCs w:val="16"/>
          <w:color w:val="auto"/>
        </w:rPr>
        <w:t xml:space="preserve"> (Canada) (in respect of amounts due and not paid for inventory subject to rights of suppliers (generally known as the “30-day goods” rule)) in the ordinary course of business, covering only the goods sold or securing only the unpaid purchase price of such goods and related expenses to the extent such Indebtedness is permitted hereunder; (xv) Liens on insurance policies and the proceeds thereof securing the financing of premiums with respect thereto; (xvi) Liens securing Subordinated Debt that are subject to an intercreditor agreement in form and substance satisfactory to the Administrative Agent; (xvii) Liens existing on property at the time of its acquisition or existing on the property of any Person at the time such Person becomes a Subsidiary; provided that (A) such Liens only encumber the assets of such Person, (B) such Lien was not created in contemplation of such acquisition or such Person becoming a Subsidiary, (C) such Lien does not extend to or cover any other assets or property of such Person (other than proceeds or products thereof) and (D) such Lien does not cover Collateral, but covers only specific property of such Person and is not a “blanket” Lien on any category or type of property; (xviii) Liens solely on any cash collateral provided in respect of letter of credit facilities issued or bank guarantees in each case, including any letters of credit issued to secure amounts owing under such bank guarantees or any letters of credit issued under a Letter of Credit Agreement; (xix) Liens solely on any cash collateral provided in respect of cash management or treasury management services; and (xx) other Liens not on borrowed money with respect to which the aggregate amount of the obligations secured thereby does not exceed $500,000 at any time outstanding.</w:t>
      </w:r>
    </w:p>
    <w:p>
      <w:pPr>
        <w:spacing w:after="0" w:line="95" w:lineRule="exact"/>
        <w:rPr>
          <w:sz w:val="20"/>
          <w:szCs w:val="20"/>
          <w:color w:val="auto"/>
        </w:rPr>
      </w:pPr>
    </w:p>
    <w:p>
      <w:pPr>
        <w:jc w:val="both"/>
        <w:ind w:left="20" w:hanging="2"/>
        <w:spacing w:after="0" w:line="304" w:lineRule="auto"/>
        <w:tabs>
          <w:tab w:leader="none" w:pos="5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PPSA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Personal Property Security Act</w:t>
      </w:r>
      <w:r>
        <w:rPr>
          <w:rFonts w:ascii="Arial" w:cs="Arial" w:eastAsia="Arial" w:hAnsi="Arial"/>
          <w:sz w:val="16"/>
          <w:szCs w:val="16"/>
          <w:color w:val="auto"/>
        </w:rPr>
        <w:t xml:space="preserve"> (Ontario) and the regulations thereunder, as from time to time in effect, provided, however, if attachment, perfection or priority of the Administrative Agent's security interests in any Collateral are governed by the personal property security laws of any jurisdiction other than Ontario, "PPSA" shall mean those personal property security laws in such other jurisdiction (including the Civil Code of Québec) for the purposes of the provisions hereof relating to such attachment, perfection, opposability or priority and for the definitions related to such provisions, in each case as in effect from time to time. References to sections of the PPSA shall be construed to also refer to any successor sections. All references to filing, perfection, priority, remedies, registering or recording under the Uniform Commercial Code or Code shall include under the PPSA.</w:t>
      </w:r>
    </w:p>
    <w:p>
      <w:pPr>
        <w:spacing w:after="0" w:line="86" w:lineRule="exact"/>
        <w:rPr>
          <w:rFonts w:ascii="Arial" w:cs="Arial" w:eastAsia="Arial" w:hAnsi="Arial"/>
          <w:sz w:val="16"/>
          <w:szCs w:val="16"/>
          <w:color w:val="auto"/>
        </w:rPr>
      </w:pPr>
    </w:p>
    <w:p>
      <w:pPr>
        <w:ind w:left="560" w:hanging="54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“Solvent” means, when used with respect to any Person, that as of the date as to which such Person’s solvency is to be measured:</w:t>
      </w:r>
    </w:p>
    <w:p>
      <w:pPr>
        <w:spacing w:after="0" w:line="158" w:lineRule="exact"/>
        <w:rPr>
          <w:sz w:val="20"/>
          <w:szCs w:val="20"/>
          <w:color w:val="auto"/>
        </w:rPr>
      </w:pPr>
    </w:p>
    <w:p>
      <w:pPr>
        <w:jc w:val="both"/>
        <w:ind w:left="20" w:right="20" w:hanging="2"/>
        <w:spacing w:after="0" w:line="279" w:lineRule="auto"/>
        <w:tabs>
          <w:tab w:leader="none" w:pos="5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fair saleable value of its assets is in excess of (A) the total amount of its liabilities (including contingent, subordinated, absolute, fixed, matured, unmatured, liquidated and unliquidated liabilities) and (B) the amount that will be required to pay the probable liability of such Person on its debts as such debts become absolute and matured;</w:t>
      </w:r>
    </w:p>
    <w:p>
      <w:pPr>
        <w:spacing w:after="0" w:line="88" w:lineRule="exact"/>
        <w:rPr>
          <w:rFonts w:ascii="Arial" w:cs="Arial" w:eastAsia="Arial" w:hAnsi="Arial"/>
          <w:sz w:val="18"/>
          <w:szCs w:val="18"/>
          <w:color w:val="auto"/>
        </w:rPr>
      </w:pPr>
    </w:p>
    <w:p>
      <w:pPr>
        <w:ind w:left="660" w:hanging="589"/>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it has sufficient capital to conduct its business;</w:t>
      </w:r>
    </w:p>
    <w:p>
      <w:pPr>
        <w:spacing w:after="0" w:line="130" w:lineRule="exact"/>
        <w:rPr>
          <w:rFonts w:ascii="Arial" w:cs="Arial" w:eastAsia="Arial" w:hAnsi="Arial"/>
          <w:sz w:val="18"/>
          <w:szCs w:val="18"/>
          <w:color w:val="auto"/>
        </w:rPr>
      </w:pPr>
    </w:p>
    <w:p>
      <w:pPr>
        <w:ind w:left="660" w:hanging="589"/>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it is able to meet its debts as they mature; and</w:t>
      </w:r>
    </w:p>
    <w:p>
      <w:pPr>
        <w:spacing w:after="0" w:line="158" w:lineRule="exact"/>
        <w:rPr>
          <w:sz w:val="20"/>
          <w:szCs w:val="20"/>
          <w:color w:val="auto"/>
        </w:rPr>
      </w:pPr>
    </w:p>
    <w:p>
      <w:pPr>
        <w:ind w:left="20" w:right="2640" w:hanging="2"/>
        <w:spacing w:after="0" w:line="439" w:lineRule="auto"/>
        <w:tabs>
          <w:tab w:leader="none" w:pos="578"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such Person is not an “insolvent person” within the meaning of the </w:t>
      </w:r>
      <w:r>
        <w:rPr>
          <w:rFonts w:ascii="Arial" w:cs="Arial" w:eastAsia="Arial" w:hAnsi="Arial"/>
          <w:sz w:val="17"/>
          <w:szCs w:val="17"/>
          <w:i w:val="1"/>
          <w:iCs w:val="1"/>
          <w:color w:val="auto"/>
        </w:rPr>
        <w:t>Bankruptcy and Insolvency Act</w:t>
      </w:r>
      <w:r>
        <w:rPr>
          <w:rFonts w:ascii="Arial" w:cs="Arial" w:eastAsia="Arial" w:hAnsi="Arial"/>
          <w:sz w:val="17"/>
          <w:szCs w:val="17"/>
          <w:color w:val="auto"/>
        </w:rPr>
        <w:t xml:space="preserve"> (Canada). d. Effective as of the Joinder Effective Date, the Loan Agreement is hereby amended as follows:</w:t>
      </w:r>
    </w:p>
    <w:p>
      <w:pPr>
        <w:ind w:left="580" w:hanging="56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4.1 of the Loan Agreement is hereby amended and restated by adding the following paragraphs:</w:t>
      </w:r>
    </w:p>
    <w:p>
      <w:pPr>
        <w:spacing w:after="0" w:line="158" w:lineRule="exact"/>
        <w:rPr>
          <w:sz w:val="20"/>
          <w:szCs w:val="20"/>
          <w:color w:val="auto"/>
        </w:rPr>
      </w:pPr>
    </w:p>
    <w:p>
      <w:pPr>
        <w:jc w:val="both"/>
        <w:ind w:left="20"/>
        <w:spacing w:after="0" w:line="265" w:lineRule="auto"/>
        <w:rPr>
          <w:sz w:val="20"/>
          <w:szCs w:val="20"/>
          <w:color w:val="auto"/>
        </w:rPr>
      </w:pPr>
      <w:r>
        <w:rPr>
          <w:rFonts w:ascii="Arial" w:cs="Arial" w:eastAsia="Arial" w:hAnsi="Arial"/>
          <w:sz w:val="18"/>
          <w:szCs w:val="18"/>
          <w:color w:val="auto"/>
        </w:rPr>
        <w:t>“For the purposes of the Interest Act (Canada) and disclosure thereunder, whenever any interest or any fee to be paid hereunder or in connection herewith is to be calculated on the basis of a 360- day year, the yearly rate of interest to which the rate used in such calculation is equivalent is the rate so used multiplied by the actual number of days in the calendar year in which the same is to be ascertained and divided by 360. The rates of interest under this Agreement are nominal rates, and not effective rates or yields. The principle of deemed reinvestment of interest does not apply to any interest calculation under this Agreement.</w:t>
      </w:r>
    </w:p>
    <w:p>
      <w:pPr>
        <w:spacing w:after="0" w:line="126"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If any provision of this Agreement would oblige a Borrower to make any payment of interest or other amount payable to a Lender in an amount or calculated at a rate which would be prohibited by applicable law or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60"/>
          </w:cols>
          <w:pgMar w:left="400" w:top="1440" w:right="439" w:bottom="1440" w:gutter="0" w:footer="0" w:header="0"/>
        </w:sectPr>
      </w:pPr>
    </w:p>
    <w:bookmarkStart w:id="61" w:name="page62"/>
    <w:bookmarkEnd w:id="61"/>
    <w:p>
      <w:pPr>
        <w:spacing w:after="0" w:line="36" w:lineRule="exact"/>
        <w:rPr>
          <w:sz w:val="20"/>
          <w:szCs w:val="20"/>
          <w:color w:val="auto"/>
        </w:rPr>
      </w:pPr>
    </w:p>
    <w:p>
      <w:pPr>
        <w:jc w:val="both"/>
        <w:ind w:left="20"/>
        <w:spacing w:after="0" w:line="265" w:lineRule="auto"/>
        <w:rPr>
          <w:sz w:val="20"/>
          <w:szCs w:val="20"/>
          <w:color w:val="auto"/>
        </w:rPr>
      </w:pPr>
      <w:r>
        <w:rPr>
          <w:rFonts w:ascii="Arial" w:cs="Arial" w:eastAsia="Arial" w:hAnsi="Arial"/>
          <w:sz w:val="18"/>
          <w:szCs w:val="18"/>
          <w:color w:val="auto"/>
        </w:rPr>
        <w:t>in a receipt by a Secured Party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(but only to the extent necessary), (i) first, by reducing the amount or rate of interest, and (ii) thereafter, by reducing any fees, commissions, costs, expenses, premiums and other amounts required to be paid to the applicable Lender which would constitute interest for purposes of Section 347 of the Criminal Code (Canada).”</w:t>
      </w:r>
    </w:p>
    <w:p>
      <w:pPr>
        <w:spacing w:after="0" w:line="357" w:lineRule="exact"/>
        <w:rPr>
          <w:sz w:val="20"/>
          <w:szCs w:val="20"/>
          <w:color w:val="auto"/>
        </w:rPr>
      </w:pPr>
    </w:p>
    <w:p>
      <w:pPr>
        <w:jc w:val="both"/>
        <w:ind w:left="20" w:hanging="2"/>
        <w:spacing w:after="0" w:line="215" w:lineRule="auto"/>
        <w:tabs>
          <w:tab w:leader="none" w:pos="5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Acknowledgement, Ratification and Reaffirmation</w:t>
      </w:r>
      <w:r>
        <w:rPr>
          <w:rFonts w:ascii="Arial" w:cs="Arial" w:eastAsia="Arial" w:hAnsi="Arial"/>
          <w:sz w:val="18"/>
          <w:szCs w:val="18"/>
          <w:color w:val="auto"/>
        </w:rPr>
        <w:t>. Each Borrower, including New Borrower, acknowledges and represents that (a) as of May 5, 2023, the outstanding balance of the Revolving Credit Loans under the Loan Agreement equals $32,531,455.19 plus interest and fees without offset, deduction or counterclaim of any kind or nature, in law or in fact; (b) as of May 5, 2023, the outstanding balance of the Standby Letter of Credit under the Loan Agreement equals</w:t>
      </w:r>
    </w:p>
    <w:p>
      <w:pPr>
        <w:spacing w:after="0" w:line="3" w:lineRule="exact"/>
        <w:rPr>
          <w:rFonts w:ascii="Arial" w:cs="Arial" w:eastAsia="Arial" w:hAnsi="Arial"/>
          <w:sz w:val="18"/>
          <w:szCs w:val="18"/>
          <w:color w:val="auto"/>
        </w:rPr>
      </w:pPr>
    </w:p>
    <w:p>
      <w:pPr>
        <w:ind w:left="20" w:right="20"/>
        <w:spacing w:after="0" w:line="268" w:lineRule="auto"/>
        <w:rPr>
          <w:rFonts w:ascii="Arial" w:cs="Arial" w:eastAsia="Arial" w:hAnsi="Arial"/>
          <w:sz w:val="18"/>
          <w:szCs w:val="18"/>
          <w:color w:val="auto"/>
        </w:rPr>
      </w:pPr>
      <w:r>
        <w:rPr>
          <w:rFonts w:ascii="Arial" w:cs="Arial" w:eastAsia="Arial" w:hAnsi="Arial"/>
          <w:sz w:val="16"/>
          <w:szCs w:val="16"/>
          <w:color w:val="auto"/>
        </w:rPr>
        <w:t>$15,500,000 plus interest and fees without offset, deduction or counterclaim of any kind or nature, in law or in fact; and (c) hereby ratifies and reaffirms the Obligations, each of the Loan Documents and all of such Borrower’s covenants, duties, indebtedness and liabilities under the Loan Documents.</w:t>
      </w:r>
    </w:p>
    <w:p>
      <w:pPr>
        <w:spacing w:after="0" w:line="163" w:lineRule="exact"/>
        <w:rPr>
          <w:rFonts w:ascii="Arial" w:cs="Arial" w:eastAsia="Arial" w:hAnsi="Arial"/>
          <w:sz w:val="18"/>
          <w:szCs w:val="18"/>
          <w:color w:val="auto"/>
        </w:rPr>
      </w:pPr>
    </w:p>
    <w:p>
      <w:pPr>
        <w:ind w:left="20" w:hanging="2"/>
        <w:spacing w:after="0" w:line="245" w:lineRule="auto"/>
        <w:tabs>
          <w:tab w:leader="none" w:pos="5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Agreement shall become effective on the date first written above (the “</w:t>
      </w:r>
      <w:r>
        <w:rPr>
          <w:rFonts w:ascii="Arial" w:cs="Arial" w:eastAsia="Arial" w:hAnsi="Arial"/>
          <w:sz w:val="18"/>
          <w:szCs w:val="18"/>
          <w:b w:val="1"/>
          <w:bCs w:val="1"/>
          <w:color w:val="auto"/>
        </w:rPr>
        <w:t>Joinder Effective Date</w:t>
      </w:r>
      <w:r>
        <w:rPr>
          <w:rFonts w:ascii="Arial" w:cs="Arial" w:eastAsia="Arial" w:hAnsi="Arial"/>
          <w:sz w:val="18"/>
          <w:szCs w:val="18"/>
          <w:color w:val="auto"/>
        </w:rPr>
        <w:t>”) and the Administrative Agent shall have received in form and substance acceptable to the Administrative Agent in its sole discretion:</w:t>
      </w:r>
    </w:p>
    <w:p>
      <w:pPr>
        <w:ind w:left="1860" w:hanging="547"/>
        <w:spacing w:after="0"/>
        <w:tabs>
          <w:tab w:leader="none" w:pos="1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counterparts of this Agreement duly executed by each of the parties on the signature pages hereto;</w:t>
      </w:r>
    </w:p>
    <w:p>
      <w:pPr>
        <w:spacing w:after="0" w:line="251" w:lineRule="exact"/>
        <w:rPr>
          <w:rFonts w:ascii="Arial" w:cs="Arial" w:eastAsia="Arial" w:hAnsi="Arial"/>
          <w:sz w:val="18"/>
          <w:szCs w:val="18"/>
          <w:color w:val="auto"/>
        </w:rPr>
      </w:pPr>
    </w:p>
    <w:p>
      <w:pPr>
        <w:jc w:val="both"/>
        <w:ind w:left="20" w:right="20" w:firstLine="1293"/>
        <w:spacing w:after="0" w:line="279" w:lineRule="auto"/>
        <w:tabs>
          <w:tab w:leader="none" w:pos="18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certificate of a Responsible or director of each Borrower, including New Borrower, certifying that as of the Joinder Effective Date (i) no Default or Event of Default exists or has occurred and is continuing and (ii) each of the representations and warranties made by the Borrowers in the Loan Agreement shall be true and correct on and as of the Joinder Effective Date;</w:t>
      </w:r>
    </w:p>
    <w:p>
      <w:pPr>
        <w:spacing w:after="0" w:line="196" w:lineRule="exact"/>
        <w:rPr>
          <w:rFonts w:ascii="Arial" w:cs="Arial" w:eastAsia="Arial" w:hAnsi="Arial"/>
          <w:sz w:val="18"/>
          <w:szCs w:val="18"/>
          <w:color w:val="auto"/>
        </w:rPr>
      </w:pPr>
    </w:p>
    <w:p>
      <w:pPr>
        <w:ind w:left="20" w:right="20" w:firstLine="1293"/>
        <w:spacing w:after="0" w:line="293" w:lineRule="auto"/>
        <w:tabs>
          <w:tab w:leader="none" w:pos="187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certificate of each Borrower, including New Borrower, dated the date hereof and executed by its Secretary or other Responsible Officer or director, which shall:</w:t>
      </w:r>
    </w:p>
    <w:p>
      <w:pPr>
        <w:spacing w:after="0" w:line="318" w:lineRule="exact"/>
        <w:rPr>
          <w:rFonts w:ascii="Arial" w:cs="Arial" w:eastAsia="Arial" w:hAnsi="Arial"/>
          <w:sz w:val="18"/>
          <w:szCs w:val="18"/>
          <w:color w:val="auto"/>
        </w:rPr>
      </w:pPr>
    </w:p>
    <w:p>
      <w:pPr>
        <w:ind w:left="1320" w:right="20" w:hanging="6"/>
        <w:spacing w:after="0" w:line="246" w:lineRule="auto"/>
        <w:tabs>
          <w:tab w:leader="none" w:pos="1867" w:val="left"/>
        </w:tabs>
        <w:numPr>
          <w:ilvl w:val="2"/>
          <w:numId w:val="37"/>
        </w:numPr>
        <w:rPr>
          <w:rFonts w:ascii="Arial" w:cs="Arial" w:eastAsia="Arial" w:hAnsi="Arial"/>
          <w:sz w:val="18"/>
          <w:szCs w:val="18"/>
          <w:color w:val="auto"/>
        </w:rPr>
      </w:pPr>
      <w:r>
        <w:rPr>
          <w:rFonts w:ascii="Arial" w:cs="Arial" w:eastAsia="Arial" w:hAnsi="Arial"/>
          <w:sz w:val="18"/>
          <w:szCs w:val="18"/>
          <w:color w:val="auto"/>
        </w:rPr>
        <w:t>certify the resolutions of its Board of Directors, members or other body authorizing the execution, delivery and performance of this Agreement and all documents related hereto to which it is a party; and</w:t>
      </w:r>
    </w:p>
    <w:p>
      <w:pPr>
        <w:spacing w:after="0" w:line="250" w:lineRule="exact"/>
        <w:rPr>
          <w:rFonts w:ascii="Arial" w:cs="Arial" w:eastAsia="Arial" w:hAnsi="Arial"/>
          <w:sz w:val="18"/>
          <w:szCs w:val="18"/>
          <w:color w:val="auto"/>
        </w:rPr>
      </w:pPr>
    </w:p>
    <w:p>
      <w:pPr>
        <w:jc w:val="both"/>
        <w:ind w:left="1320" w:right="20" w:hanging="6"/>
        <w:spacing w:after="0" w:line="229" w:lineRule="auto"/>
        <w:tabs>
          <w:tab w:leader="none" w:pos="1870" w:val="left"/>
        </w:tabs>
        <w:numPr>
          <w:ilvl w:val="2"/>
          <w:numId w:val="37"/>
        </w:numPr>
        <w:rPr>
          <w:rFonts w:ascii="Arial" w:cs="Arial" w:eastAsia="Arial" w:hAnsi="Arial"/>
          <w:sz w:val="18"/>
          <w:szCs w:val="18"/>
          <w:color w:val="auto"/>
        </w:rPr>
      </w:pPr>
      <w:r>
        <w:rPr>
          <w:rFonts w:ascii="Arial" w:cs="Arial" w:eastAsia="Arial" w:hAnsi="Arial"/>
          <w:sz w:val="18"/>
          <w:szCs w:val="18"/>
          <w:color w:val="auto"/>
        </w:rPr>
        <w:t>contain appropriate attachments, including the certificate or articles of incorporation or organization of Borrower certified, as applicable, by the relevant authority of the jurisdiction of organization of such entity and a true and correct copy of its current bylaws or operating, management or partnership agreement.</w:t>
      </w:r>
    </w:p>
    <w:p>
      <w:pPr>
        <w:spacing w:after="0" w:line="204" w:lineRule="exact"/>
        <w:rPr>
          <w:rFonts w:ascii="Arial" w:cs="Arial" w:eastAsia="Arial" w:hAnsi="Arial"/>
          <w:sz w:val="18"/>
          <w:szCs w:val="18"/>
          <w:color w:val="auto"/>
        </w:rPr>
      </w:pPr>
    </w:p>
    <w:p>
      <w:pPr>
        <w:ind w:left="20" w:right="780" w:firstLine="1293"/>
        <w:spacing w:after="0" w:line="235" w:lineRule="auto"/>
        <w:tabs>
          <w:tab w:leader="none" w:pos="18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long form good standing certificate (or equivalent document for New Borrower) for each Borrower, including New Borrower, from its jurisdiction of organization.</w:t>
      </w:r>
    </w:p>
    <w:p>
      <w:pPr>
        <w:spacing w:after="0" w:line="202" w:lineRule="exact"/>
        <w:rPr>
          <w:rFonts w:ascii="Arial" w:cs="Arial" w:eastAsia="Arial" w:hAnsi="Arial"/>
          <w:sz w:val="18"/>
          <w:szCs w:val="18"/>
          <w:color w:val="auto"/>
        </w:rPr>
      </w:pPr>
    </w:p>
    <w:p>
      <w:pPr>
        <w:jc w:val="both"/>
        <w:ind w:left="20" w:hanging="2"/>
        <w:spacing w:after="0" w:line="219" w:lineRule="auto"/>
        <w:tabs>
          <w:tab w:leader="none" w:pos="5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Borrower, including New Borrower, represents and warrants to the Administrative Agent that immediately after giving effect to this Agreement on the Joinder Effective Date (a) the representations and warranties of the Loan Parties set forth in the Loan Documents shall be true and correct with the same effect as though made on and as of the Joinder Effective Date, provided that any representation or warranty which by its terms is made as of a specified date shall be true and correct only as of such specified date, and (b) no Event of Default shall have occurred and be continuing.</w:t>
      </w:r>
    </w:p>
    <w:p>
      <w:pPr>
        <w:spacing w:after="0" w:line="203" w:lineRule="exact"/>
        <w:rPr>
          <w:rFonts w:ascii="Arial" w:cs="Arial" w:eastAsia="Arial" w:hAnsi="Arial"/>
          <w:sz w:val="18"/>
          <w:szCs w:val="18"/>
          <w:color w:val="auto"/>
        </w:rPr>
      </w:pPr>
    </w:p>
    <w:p>
      <w:pPr>
        <w:jc w:val="both"/>
        <w:ind w:left="20" w:hanging="2"/>
        <w:spacing w:after="0" w:line="232" w:lineRule="auto"/>
        <w:tabs>
          <w:tab w:leader="none" w:pos="573"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Confirmation</w:t>
      </w:r>
      <w:r>
        <w:rPr>
          <w:rFonts w:ascii="Arial" w:cs="Arial" w:eastAsia="Arial" w:hAnsi="Arial"/>
          <w:sz w:val="17"/>
          <w:szCs w:val="17"/>
          <w:color w:val="auto"/>
        </w:rPr>
        <w:t>. Each Borrower, including New Borrower, hereby agrees that the Loan Agreement and each other Loan Document to which it is a party, and each security interest granted by it hereunder or thereunder, is hereby reaffirmed, ratified, approved and confirmed in each and every respect on and after the Joinder Effective Date, except that each reference in the Loan Agreement to “this Agreement”, “hereunder”, “hereof”, “herein” or words of like import referring to the Loan Agreement, and each reference in the other Loan Documents to the “Loan Agreement”, “thereunder”, “thereof” or words of like import referring to the Loan Agreement shall mean and be a reference to the Loan Agreement, as supplemented by this Agreement. In all other respects, the terms of the Loan Agreement and the other Loan Documents are hereby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60"/>
          </w:cols>
          <w:pgMar w:left="400" w:top="1440" w:right="439" w:bottom="1440" w:gutter="0" w:footer="0" w:header="0"/>
        </w:sectPr>
      </w:pPr>
    </w:p>
    <w:bookmarkStart w:id="62" w:name="page63"/>
    <w:bookmarkEnd w:id="62"/>
    <w:p>
      <w:pPr>
        <w:jc w:val="both"/>
        <w:ind w:left="20" w:hanging="2"/>
        <w:spacing w:after="0" w:line="248" w:lineRule="auto"/>
        <w:tabs>
          <w:tab w:leader="none" w:pos="57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In consideration of this Agreement, each Borrower, including New Borrower, represents and warrants that, as of the date hereof, there are no offsets, defenses or counterclaims against or in respect of its obligations under the Loan Documents and each hereby releases and discharges the Administrative Agent and its agents, employees, successors and assigns, of and from all claims, actions, causes of action, damages, costs, expenses and liabilities, known or unknown, fixed, contingent or conditional, at law or in equity, in connection with the Loan Documents or any transactions or acts in connection therewith, in each case existing on or before the date of this Agreement, which each may have against any such Person, irrespective of whether any such claims, actions, causes of action, damages, costs, expenses or liabilities are based on contract, tort or otherwise.</w:t>
      </w:r>
    </w:p>
    <w:p>
      <w:pPr>
        <w:spacing w:after="0" w:line="195" w:lineRule="exact"/>
        <w:rPr>
          <w:rFonts w:ascii="Arial" w:cs="Arial" w:eastAsia="Arial" w:hAnsi="Arial"/>
          <w:sz w:val="16"/>
          <w:szCs w:val="16"/>
          <w:color w:val="auto"/>
        </w:rPr>
      </w:pPr>
    </w:p>
    <w:p>
      <w:pPr>
        <w:ind w:left="20" w:right="20" w:hanging="2"/>
        <w:spacing w:after="0" w:line="235" w:lineRule="auto"/>
        <w:tabs>
          <w:tab w:leader="none" w:pos="57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all of such counterparts taken together shall be deemed to constitute one and the same instrument.</w:t>
      </w:r>
    </w:p>
    <w:p>
      <w:pPr>
        <w:spacing w:after="0" w:line="202" w:lineRule="exact"/>
        <w:rPr>
          <w:rFonts w:ascii="Arial" w:cs="Arial" w:eastAsia="Arial" w:hAnsi="Arial"/>
          <w:sz w:val="18"/>
          <w:szCs w:val="18"/>
          <w:color w:val="auto"/>
        </w:rPr>
      </w:pPr>
    </w:p>
    <w:p>
      <w:pPr>
        <w:ind w:left="20" w:right="20" w:hanging="2"/>
        <w:spacing w:after="0" w:line="246" w:lineRule="auto"/>
        <w:tabs>
          <w:tab w:leader="none" w:pos="57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96" w:lineRule="exact"/>
        <w:rPr>
          <w:rFonts w:ascii="Arial" w:cs="Arial" w:eastAsia="Arial" w:hAnsi="Arial"/>
          <w:sz w:val="18"/>
          <w:szCs w:val="18"/>
          <w:color w:val="auto"/>
        </w:rPr>
      </w:pPr>
    </w:p>
    <w:p>
      <w:pPr>
        <w:ind w:left="580" w:hanging="56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Agreement is a “Loan Document” under and as defined in the Loan Agreement.</w:t>
      </w:r>
    </w:p>
    <w:p>
      <w:pPr>
        <w:spacing w:after="0" w:line="225" w:lineRule="exact"/>
        <w:rPr>
          <w:rFonts w:ascii="Arial" w:cs="Arial" w:eastAsia="Arial" w:hAnsi="Arial"/>
          <w:sz w:val="18"/>
          <w:szCs w:val="18"/>
          <w:color w:val="auto"/>
        </w:rPr>
      </w:pPr>
    </w:p>
    <w:p>
      <w:pPr>
        <w:ind w:left="20" w:hanging="2"/>
        <w:spacing w:after="0" w:line="235"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successors, assigns and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60"/>
          </w:cols>
          <w:pgMar w:left="400" w:top="1313" w:right="439" w:bottom="1440" w:gutter="0" w:footer="0" w:header="0"/>
        </w:sectPr>
      </w:pPr>
    </w:p>
    <w:bookmarkStart w:id="63" w:name="page64"/>
    <w:bookmarkEnd w:id="63"/>
    <w:p>
      <w:pPr>
        <w:spacing w:after="0" w:line="211" w:lineRule="exact"/>
        <w:rPr>
          <w:sz w:val="20"/>
          <w:szCs w:val="20"/>
          <w:color w:val="auto"/>
        </w:rPr>
      </w:pPr>
    </w:p>
    <w:p>
      <w:pPr>
        <w:ind w:left="20" w:firstLine="647"/>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by its proper and duly authorized officer as of the date first set forth above.</w:t>
      </w:r>
    </w:p>
    <w:p>
      <w:pPr>
        <w:spacing w:after="0" w:line="103"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EXISTING BORROWERS</w:t>
      </w:r>
      <w:r>
        <w:rPr>
          <w:rFonts w:ascii="Arial" w:cs="Arial" w:eastAsia="Arial" w:hAnsi="Arial"/>
          <w:sz w:val="18"/>
          <w:szCs w:val="18"/>
          <w:color w:val="auto"/>
        </w:rPr>
        <w:t>:</w:t>
      </w: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BUZZFEED MEDIA ENTERPRISES, INC.</w:t>
      </w:r>
    </w:p>
    <w:p>
      <w:pPr>
        <w:spacing w:after="0" w:line="200" w:lineRule="exact"/>
        <w:rPr>
          <w:sz w:val="20"/>
          <w:szCs w:val="20"/>
          <w:color w:val="auto"/>
        </w:rPr>
      </w:pPr>
    </w:p>
    <w:p>
      <w:pPr>
        <w:spacing w:after="0" w:line="237" w:lineRule="exact"/>
        <w:rPr>
          <w:sz w:val="20"/>
          <w:szCs w:val="20"/>
          <w:color w:val="auto"/>
        </w:rPr>
      </w:pPr>
    </w:p>
    <w:tbl>
      <w:tblPr>
        <w:tblLayout w:type="fixed"/>
        <w:tblInd w:w="390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18"/>
        </w:trPr>
        <w:tc>
          <w:tcPr>
            <w:tcW w:w="4200" w:type="dxa"/>
            <w:vAlign w:val="bottom"/>
            <w:gridSpan w:val="4"/>
          </w:tcPr>
          <w:p>
            <w:pPr>
              <w:spacing w:after="0"/>
              <w:rPr>
                <w:sz w:val="20"/>
                <w:szCs w:val="20"/>
                <w:color w:val="auto"/>
              </w:rPr>
            </w:pPr>
            <w:r>
              <w:rPr>
                <w:rFonts w:ascii="Arial" w:cs="Arial" w:eastAsia="Arial" w:hAnsi="Arial"/>
                <w:sz w:val="18"/>
                <w:szCs w:val="18"/>
                <w:color w:val="auto"/>
              </w:rPr>
              <w:t>Title:  Chief Financial Officer BUZZFEED, INC.</w:t>
            </w:r>
          </w:p>
        </w:tc>
      </w:tr>
      <w:tr>
        <w:trPr>
          <w:trHeight w:val="513"/>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2"/>
        </w:trPr>
        <w:tc>
          <w:tcPr>
            <w:tcW w:w="4200" w:type="dxa"/>
            <w:vAlign w:val="bottom"/>
            <w:gridSpan w:val="4"/>
          </w:tcPr>
          <w:p>
            <w:pPr>
              <w:spacing w:after="0"/>
              <w:rPr>
                <w:sz w:val="20"/>
                <w:szCs w:val="20"/>
                <w:color w:val="auto"/>
              </w:rPr>
            </w:pPr>
            <w:r>
              <w:rPr>
                <w:rFonts w:ascii="Arial" w:cs="Arial" w:eastAsia="Arial" w:hAnsi="Arial"/>
                <w:sz w:val="18"/>
                <w:szCs w:val="18"/>
                <w:color w:val="auto"/>
              </w:rPr>
              <w:t>Title:  Chief Financial Officer BUZZFEED FC, INC.</w:t>
            </w:r>
          </w:p>
        </w:tc>
      </w:tr>
      <w:tr>
        <w:trPr>
          <w:trHeight w:val="418"/>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80"/>
              <w:spacing w:after="0"/>
              <w:rPr>
                <w:sz w:val="20"/>
                <w:szCs w:val="20"/>
                <w:color w:val="auto"/>
              </w:rPr>
            </w:pPr>
            <w:r>
              <w:rPr>
                <w:rFonts w:ascii="Arial" w:cs="Arial" w:eastAsia="Arial" w:hAnsi="Arial"/>
                <w:sz w:val="18"/>
                <w:szCs w:val="18"/>
                <w:color w:val="auto"/>
              </w:rPr>
              <w:t>Treasurer</w:t>
            </w:r>
          </w:p>
        </w:tc>
        <w:tc>
          <w:tcPr>
            <w:tcW w:w="2060" w:type="dxa"/>
            <w:vAlign w:val="bottom"/>
          </w:tcPr>
          <w:p>
            <w:pPr>
              <w:spacing w:after="0"/>
              <w:rPr>
                <w:sz w:val="19"/>
                <w:szCs w:val="19"/>
                <w:color w:val="auto"/>
              </w:rPr>
            </w:pPr>
          </w:p>
        </w:tc>
      </w:tr>
      <w:tr>
        <w:trPr>
          <w:trHeight w:val="404"/>
        </w:trPr>
        <w:tc>
          <w:tcPr>
            <w:tcW w:w="4200" w:type="dxa"/>
            <w:vAlign w:val="bottom"/>
            <w:gridSpan w:val="4"/>
          </w:tcPr>
          <w:p>
            <w:pPr>
              <w:spacing w:after="0"/>
              <w:rPr>
                <w:sz w:val="20"/>
                <w:szCs w:val="20"/>
                <w:color w:val="auto"/>
              </w:rPr>
            </w:pPr>
            <w:r>
              <w:rPr>
                <w:rFonts w:ascii="Arial" w:cs="Arial" w:eastAsia="Arial" w:hAnsi="Arial"/>
                <w:sz w:val="18"/>
                <w:szCs w:val="18"/>
                <w:color w:val="auto"/>
              </w:rPr>
              <w:t>BF ACQUISITION HOLDING CORP.</w:t>
            </w:r>
          </w:p>
        </w:tc>
      </w:tr>
      <w:tr>
        <w:trPr>
          <w:trHeight w:val="540"/>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80"/>
              <w:spacing w:after="0"/>
              <w:rPr>
                <w:sz w:val="20"/>
                <w:szCs w:val="20"/>
                <w:color w:val="auto"/>
              </w:rPr>
            </w:pPr>
            <w:r>
              <w:rPr>
                <w:rFonts w:ascii="Arial" w:cs="Arial" w:eastAsia="Arial" w:hAnsi="Arial"/>
                <w:sz w:val="18"/>
                <w:szCs w:val="18"/>
                <w:color w:val="auto"/>
              </w:rPr>
              <w:t>Treasurer</w:t>
            </w:r>
          </w:p>
        </w:tc>
        <w:tc>
          <w:tcPr>
            <w:tcW w:w="2060" w:type="dxa"/>
            <w:vAlign w:val="bottom"/>
          </w:tcPr>
          <w:p>
            <w:pPr>
              <w:spacing w:after="0"/>
              <w:rPr>
                <w:sz w:val="19"/>
                <w:szCs w:val="19"/>
                <w:color w:val="auto"/>
              </w:rPr>
            </w:pPr>
          </w:p>
        </w:tc>
      </w:tr>
      <w:tr>
        <w:trPr>
          <w:trHeight w:val="404"/>
        </w:trPr>
        <w:tc>
          <w:tcPr>
            <w:tcW w:w="4200" w:type="dxa"/>
            <w:vAlign w:val="bottom"/>
            <w:gridSpan w:val="4"/>
          </w:tcPr>
          <w:p>
            <w:pPr>
              <w:spacing w:after="0"/>
              <w:rPr>
                <w:sz w:val="20"/>
                <w:szCs w:val="20"/>
                <w:color w:val="auto"/>
              </w:rPr>
            </w:pPr>
            <w:r>
              <w:rPr>
                <w:rFonts w:ascii="Arial" w:cs="Arial" w:eastAsia="Arial" w:hAnsi="Arial"/>
                <w:sz w:val="18"/>
                <w:szCs w:val="18"/>
                <w:color w:val="auto"/>
              </w:rPr>
              <w:t>BUZZFEED MOTION PICTURES, INC.</w:t>
            </w:r>
          </w:p>
        </w:tc>
      </w:tr>
      <w:tr>
        <w:trPr>
          <w:trHeight w:val="540"/>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80"/>
              <w:spacing w:after="0"/>
              <w:rPr>
                <w:sz w:val="20"/>
                <w:szCs w:val="20"/>
                <w:color w:val="auto"/>
              </w:rPr>
            </w:pPr>
            <w:r>
              <w:rPr>
                <w:rFonts w:ascii="Arial" w:cs="Arial" w:eastAsia="Arial" w:hAnsi="Arial"/>
                <w:sz w:val="18"/>
                <w:szCs w:val="18"/>
                <w:color w:val="auto"/>
              </w:rPr>
              <w:t>Treasurer</w:t>
            </w:r>
          </w:p>
        </w:tc>
        <w:tc>
          <w:tcPr>
            <w:tcW w:w="2060" w:type="dxa"/>
            <w:vAlign w:val="bottom"/>
          </w:tcPr>
          <w:p>
            <w:pPr>
              <w:spacing w:after="0"/>
              <w:rPr>
                <w:sz w:val="19"/>
                <w:szCs w:val="19"/>
                <w:color w:val="auto"/>
              </w:rPr>
            </w:pPr>
          </w:p>
        </w:tc>
      </w:tr>
      <w:tr>
        <w:trPr>
          <w:trHeight w:val="404"/>
        </w:trPr>
        <w:tc>
          <w:tcPr>
            <w:tcW w:w="4200" w:type="dxa"/>
            <w:vAlign w:val="bottom"/>
            <w:gridSpan w:val="4"/>
          </w:tcPr>
          <w:p>
            <w:pPr>
              <w:spacing w:after="0"/>
              <w:rPr>
                <w:sz w:val="20"/>
                <w:szCs w:val="20"/>
                <w:color w:val="auto"/>
              </w:rPr>
            </w:pPr>
            <w:r>
              <w:rPr>
                <w:rFonts w:ascii="Arial" w:cs="Arial" w:eastAsia="Arial" w:hAnsi="Arial"/>
                <w:sz w:val="18"/>
                <w:szCs w:val="18"/>
                <w:color w:val="auto"/>
              </w:rPr>
              <w:t>ET ACQUISITION SUB, INC.</w:t>
            </w:r>
          </w:p>
        </w:tc>
      </w:tr>
      <w:tr>
        <w:trPr>
          <w:trHeight w:val="553"/>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80"/>
              <w:spacing w:after="0"/>
              <w:rPr>
                <w:sz w:val="20"/>
                <w:szCs w:val="20"/>
                <w:color w:val="auto"/>
              </w:rPr>
            </w:pPr>
            <w:r>
              <w:rPr>
                <w:rFonts w:ascii="Arial" w:cs="Arial" w:eastAsia="Arial" w:hAnsi="Arial"/>
                <w:sz w:val="18"/>
                <w:szCs w:val="18"/>
                <w:color w:val="auto"/>
              </w:rPr>
              <w:t>Treasurer</w:t>
            </w:r>
          </w:p>
        </w:tc>
        <w:tc>
          <w:tcPr>
            <w:tcW w:w="2060" w:type="dxa"/>
            <w:vAlign w:val="bottom"/>
          </w:tcPr>
          <w:p>
            <w:pPr>
              <w:spacing w:after="0"/>
              <w:rPr>
                <w:sz w:val="19"/>
                <w:szCs w:val="19"/>
                <w:color w:val="auto"/>
              </w:rPr>
            </w:pPr>
          </w:p>
        </w:tc>
      </w:tr>
      <w:tr>
        <w:trPr>
          <w:trHeight w:val="472"/>
        </w:trPr>
        <w:tc>
          <w:tcPr>
            <w:tcW w:w="4200" w:type="dxa"/>
            <w:vAlign w:val="bottom"/>
            <w:gridSpan w:val="4"/>
          </w:tcPr>
          <w:p>
            <w:pPr>
              <w:spacing w:after="0"/>
              <w:rPr>
                <w:sz w:val="20"/>
                <w:szCs w:val="20"/>
                <w:color w:val="auto"/>
              </w:rPr>
            </w:pPr>
            <w:r>
              <w:rPr>
                <w:rFonts w:ascii="Arial" w:cs="Arial" w:eastAsia="Arial" w:hAnsi="Arial"/>
                <w:sz w:val="18"/>
                <w:szCs w:val="18"/>
                <w:color w:val="auto"/>
              </w:rPr>
              <w:t>ET HOLDINGS ACQUISITION CORP.</w:t>
            </w:r>
          </w:p>
        </w:tc>
      </w:tr>
      <w:tr>
        <w:trPr>
          <w:trHeight w:val="540"/>
        </w:trPr>
        <w:tc>
          <w:tcPr>
            <w:tcW w:w="2140" w:type="dxa"/>
            <w:vAlign w:val="bottom"/>
            <w:gridSpan w:val="3"/>
          </w:tcPr>
          <w:p>
            <w:pPr>
              <w:spacing w:after="0"/>
              <w:rPr>
                <w:sz w:val="20"/>
                <w:szCs w:val="20"/>
                <w:color w:val="auto"/>
              </w:rPr>
            </w:pPr>
            <w:r>
              <w:rPr>
                <w:rFonts w:ascii="Arial" w:cs="Arial" w:eastAsia="Arial" w:hAnsi="Arial"/>
                <w:sz w:val="18"/>
                <w:szCs w:val="18"/>
                <w:color w:val="auto"/>
              </w:rPr>
              <w:t>By:/s/ Felicia DellaFortuna</w:t>
            </w:r>
          </w:p>
        </w:tc>
        <w:tc>
          <w:tcPr>
            <w:tcW w:w="2060" w:type="dxa"/>
            <w:vAlign w:val="bottom"/>
          </w:tcPr>
          <w:p>
            <w:pPr>
              <w:ind w:left="60"/>
              <w:spacing w:after="0"/>
              <w:rPr>
                <w:sz w:val="20"/>
                <w:szCs w:val="20"/>
                <w:color w:val="auto"/>
              </w:rPr>
            </w:pPr>
            <w:r>
              <w:rPr>
                <w:rFonts w:ascii="Arial" w:cs="Arial" w:eastAsia="Arial" w:hAnsi="Arial"/>
                <w:sz w:val="18"/>
                <w:szCs w:val="18"/>
                <w:color w:val="auto"/>
                <w:w w:val="90"/>
              </w:rPr>
              <w:t>Name: Felicia DellaFortuna</w:t>
            </w: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tcPr>
          <w:p>
            <w:pPr>
              <w:ind w:left="80"/>
              <w:spacing w:after="0"/>
              <w:rPr>
                <w:sz w:val="20"/>
                <w:szCs w:val="20"/>
                <w:color w:val="auto"/>
              </w:rPr>
            </w:pPr>
            <w:r>
              <w:rPr>
                <w:rFonts w:ascii="Arial" w:cs="Arial" w:eastAsia="Arial" w:hAnsi="Arial"/>
                <w:sz w:val="18"/>
                <w:szCs w:val="18"/>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40"/>
          </w:cols>
          <w:pgMar w:left="400" w:top="1440" w:right="359" w:bottom="1440" w:gutter="0" w:footer="0" w:header="0"/>
        </w:sectPr>
      </w:pPr>
    </w:p>
    <w:bookmarkStart w:id="64" w:name="page65"/>
    <w:bookmarkEnd w:id="64"/>
    <w:p>
      <w:pPr>
        <w:ind w:left="3900"/>
        <w:spacing w:after="0"/>
        <w:rPr>
          <w:sz w:val="20"/>
          <w:szCs w:val="20"/>
          <w:color w:val="auto"/>
        </w:rPr>
      </w:pPr>
      <w:r>
        <w:rPr>
          <w:rFonts w:ascii="Arial" w:cs="Arial" w:eastAsia="Arial" w:hAnsi="Arial"/>
          <w:sz w:val="18"/>
          <w:szCs w:val="18"/>
          <w:color w:val="auto"/>
        </w:rPr>
        <w:t>THEHUFFINGTONPOST.COM, INC.</w:t>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207"/>
        </w:trPr>
        <w:tc>
          <w:tcPr>
            <w:tcW w:w="2180" w:type="dxa"/>
            <w:vAlign w:val="bottom"/>
            <w:gridSpan w:val="5"/>
          </w:tcPr>
          <w:p>
            <w:pPr>
              <w:spacing w:after="0"/>
              <w:rPr>
                <w:sz w:val="20"/>
                <w:szCs w:val="20"/>
                <w:color w:val="auto"/>
              </w:rPr>
            </w:pPr>
            <w:r>
              <w:rPr>
                <w:rFonts w:ascii="Arial" w:cs="Arial" w:eastAsia="Arial" w:hAnsi="Arial"/>
                <w:sz w:val="18"/>
                <w:szCs w:val="18"/>
                <w:color w:val="auto"/>
              </w:rPr>
              <w:t>By:/s/ Felicia DellaFortuna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0"/>
              </w:rPr>
              <w:t>Name: Felicia DellaFortuna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0" w:type="dxa"/>
            <w:vAlign w:val="bottom"/>
            <w:gridSpan w:val="7"/>
          </w:tcPr>
          <w:p>
            <w:pPr>
              <w:spacing w:after="0"/>
              <w:rPr>
                <w:sz w:val="20"/>
                <w:szCs w:val="20"/>
                <w:color w:val="auto"/>
              </w:rPr>
            </w:pPr>
            <w:r>
              <w:rPr>
                <w:rFonts w:ascii="Arial" w:cs="Arial" w:eastAsia="Arial" w:hAnsi="Arial"/>
                <w:sz w:val="18"/>
                <w:szCs w:val="18"/>
                <w:color w:val="auto"/>
                <w:w w:val="99"/>
              </w:rPr>
              <w:t>Title:  Treasurer COMPLEX COMPLEX MEDIA, INC.</w:t>
            </w:r>
          </w:p>
        </w:tc>
        <w:tc>
          <w:tcPr>
            <w:tcW w:w="0" w:type="dxa"/>
            <w:vAlign w:val="bottom"/>
          </w:tcPr>
          <w:p>
            <w:pPr>
              <w:spacing w:after="0"/>
              <w:rPr>
                <w:sz w:val="1"/>
                <w:szCs w:val="1"/>
                <w:color w:val="auto"/>
              </w:rPr>
            </w:pPr>
          </w:p>
        </w:tc>
      </w:tr>
      <w:tr>
        <w:trPr>
          <w:trHeight w:val="445"/>
        </w:trPr>
        <w:tc>
          <w:tcPr>
            <w:tcW w:w="2180" w:type="dxa"/>
            <w:vAlign w:val="bottom"/>
            <w:gridSpan w:val="5"/>
          </w:tcPr>
          <w:p>
            <w:pPr>
              <w:spacing w:after="0"/>
              <w:rPr>
                <w:sz w:val="20"/>
                <w:szCs w:val="20"/>
                <w:color w:val="auto"/>
              </w:rPr>
            </w:pPr>
            <w:r>
              <w:rPr>
                <w:rFonts w:ascii="Arial" w:cs="Arial" w:eastAsia="Arial" w:hAnsi="Arial"/>
                <w:sz w:val="18"/>
                <w:szCs w:val="18"/>
                <w:color w:val="auto"/>
              </w:rPr>
              <w:t>By:/s/ Felicia DellaFortuna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0"/>
              </w:rPr>
              <w:t>Name: Felicia DellaFortuna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Treasurer</w:t>
            </w:r>
          </w:p>
        </w:tc>
        <w:tc>
          <w:tcPr>
            <w:tcW w:w="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2180" w:type="dxa"/>
            <w:vAlign w:val="bottom"/>
            <w:gridSpan w:val="5"/>
          </w:tcPr>
          <w:p>
            <w:pPr>
              <w:spacing w:after="0"/>
              <w:rPr>
                <w:sz w:val="20"/>
                <w:szCs w:val="20"/>
                <w:color w:val="auto"/>
              </w:rPr>
            </w:pPr>
            <w:r>
              <w:rPr>
                <w:rFonts w:ascii="Arial" w:cs="Arial" w:eastAsia="Arial" w:hAnsi="Arial"/>
                <w:sz w:val="18"/>
                <w:szCs w:val="18"/>
                <w:color w:val="auto"/>
              </w:rPr>
              <w:t>CM PARTNERS, LLC.</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2180" w:type="dxa"/>
            <w:vAlign w:val="bottom"/>
            <w:gridSpan w:val="5"/>
          </w:tcPr>
          <w:p>
            <w:pPr>
              <w:spacing w:after="0"/>
              <w:rPr>
                <w:sz w:val="20"/>
                <w:szCs w:val="20"/>
                <w:color w:val="auto"/>
              </w:rPr>
            </w:pPr>
            <w:r>
              <w:rPr>
                <w:rFonts w:ascii="Arial" w:cs="Arial" w:eastAsia="Arial" w:hAnsi="Arial"/>
                <w:sz w:val="18"/>
                <w:szCs w:val="18"/>
                <w:color w:val="auto"/>
              </w:rPr>
              <w:t>By:/s/ Felicia DellaFortuna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0"/>
              </w:rPr>
              <w:t>Name: Felicia DellaFortuna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0" w:type="dxa"/>
            <w:vAlign w:val="bottom"/>
            <w:gridSpan w:val="7"/>
          </w:tcPr>
          <w:p>
            <w:pPr>
              <w:spacing w:after="0"/>
              <w:rPr>
                <w:sz w:val="20"/>
                <w:szCs w:val="20"/>
                <w:color w:val="auto"/>
              </w:rPr>
            </w:pPr>
            <w:r>
              <w:rPr>
                <w:rFonts w:ascii="Arial" w:cs="Arial" w:eastAsia="Arial" w:hAnsi="Arial"/>
                <w:sz w:val="18"/>
                <w:szCs w:val="18"/>
                <w:color w:val="auto"/>
              </w:rPr>
              <w:t>Title:  Treasurer LEXLAND STUDIOS, INC.</w:t>
            </w:r>
          </w:p>
        </w:tc>
        <w:tc>
          <w:tcPr>
            <w:tcW w:w="0" w:type="dxa"/>
            <w:vAlign w:val="bottom"/>
          </w:tcPr>
          <w:p>
            <w:pPr>
              <w:spacing w:after="0"/>
              <w:rPr>
                <w:sz w:val="1"/>
                <w:szCs w:val="1"/>
                <w:color w:val="auto"/>
              </w:rPr>
            </w:pPr>
          </w:p>
        </w:tc>
      </w:tr>
      <w:tr>
        <w:trPr>
          <w:trHeight w:val="459"/>
        </w:trPr>
        <w:tc>
          <w:tcPr>
            <w:tcW w:w="2180" w:type="dxa"/>
            <w:vAlign w:val="bottom"/>
            <w:gridSpan w:val="5"/>
          </w:tcPr>
          <w:p>
            <w:pPr>
              <w:spacing w:after="0"/>
              <w:rPr>
                <w:sz w:val="20"/>
                <w:szCs w:val="20"/>
                <w:color w:val="auto"/>
              </w:rPr>
            </w:pPr>
            <w:r>
              <w:rPr>
                <w:rFonts w:ascii="Arial" w:cs="Arial" w:eastAsia="Arial" w:hAnsi="Arial"/>
                <w:sz w:val="18"/>
                <w:szCs w:val="18"/>
                <w:color w:val="auto"/>
              </w:rPr>
              <w:t>By:/s/ Felicia DellaFortuna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0"/>
              </w:rPr>
              <w:t>Name: Felicia DellaFortuna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0" w:type="dxa"/>
            <w:vAlign w:val="bottom"/>
            <w:gridSpan w:val="7"/>
          </w:tcPr>
          <w:p>
            <w:pPr>
              <w:spacing w:after="0"/>
              <w:rPr>
                <w:sz w:val="20"/>
                <w:szCs w:val="20"/>
                <w:color w:val="auto"/>
              </w:rPr>
            </w:pPr>
            <w:r>
              <w:rPr>
                <w:rFonts w:ascii="Arial" w:cs="Arial" w:eastAsia="Arial" w:hAnsi="Arial"/>
                <w:sz w:val="18"/>
                <w:szCs w:val="18"/>
                <w:color w:val="auto"/>
              </w:rPr>
              <w:t>Title:  Treasurer PRODUCT LABS, INC.</w:t>
            </w:r>
          </w:p>
        </w:tc>
        <w:tc>
          <w:tcPr>
            <w:tcW w:w="0" w:type="dxa"/>
            <w:vAlign w:val="bottom"/>
          </w:tcPr>
          <w:p>
            <w:pPr>
              <w:spacing w:after="0"/>
              <w:rPr>
                <w:sz w:val="1"/>
                <w:szCs w:val="1"/>
                <w:color w:val="auto"/>
              </w:rPr>
            </w:pPr>
          </w:p>
        </w:tc>
      </w:tr>
      <w:tr>
        <w:trPr>
          <w:trHeight w:val="472"/>
        </w:trPr>
        <w:tc>
          <w:tcPr>
            <w:tcW w:w="2180" w:type="dxa"/>
            <w:vAlign w:val="bottom"/>
            <w:gridSpan w:val="5"/>
          </w:tcPr>
          <w:p>
            <w:pPr>
              <w:spacing w:after="0"/>
              <w:rPr>
                <w:sz w:val="20"/>
                <w:szCs w:val="20"/>
                <w:color w:val="auto"/>
              </w:rPr>
            </w:pPr>
            <w:r>
              <w:rPr>
                <w:rFonts w:ascii="Arial" w:cs="Arial" w:eastAsia="Arial" w:hAnsi="Arial"/>
                <w:sz w:val="18"/>
                <w:szCs w:val="18"/>
                <w:color w:val="auto"/>
              </w:rPr>
              <w:t>By:/s/ Felicia DellaFortuna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0"/>
              </w:rPr>
              <w:t>Name: Felicia DellaFortuna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0" w:type="dxa"/>
            <w:vAlign w:val="bottom"/>
            <w:gridSpan w:val="7"/>
          </w:tcPr>
          <w:p>
            <w:pPr>
              <w:spacing w:after="0"/>
              <w:rPr>
                <w:sz w:val="20"/>
                <w:szCs w:val="20"/>
                <w:color w:val="auto"/>
              </w:rPr>
            </w:pPr>
            <w:r>
              <w:rPr>
                <w:rFonts w:ascii="Arial" w:cs="Arial" w:eastAsia="Arial" w:hAnsi="Arial"/>
                <w:sz w:val="18"/>
                <w:szCs w:val="18"/>
                <w:color w:val="auto"/>
              </w:rPr>
              <w:t>Title:  Treasurer NEW BORROWER:</w:t>
            </w:r>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180" w:type="dxa"/>
            <w:vAlign w:val="bottom"/>
            <w:gridSpan w:val="5"/>
          </w:tcPr>
          <w:p>
            <w:pPr>
              <w:spacing w:after="0"/>
              <w:rPr>
                <w:sz w:val="20"/>
                <w:szCs w:val="20"/>
                <w:color w:val="auto"/>
              </w:rPr>
            </w:pPr>
            <w:r>
              <w:rPr>
                <w:rFonts w:ascii="Arial" w:cs="Arial" w:eastAsia="Arial" w:hAnsi="Arial"/>
                <w:sz w:val="18"/>
                <w:szCs w:val="18"/>
                <w:color w:val="auto"/>
                <w:w w:val="97"/>
              </w:rPr>
              <w:t>BUZZFEED CANADA, INC.</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180" w:type="dxa"/>
            <w:vAlign w:val="bottom"/>
            <w:gridSpan w:val="5"/>
          </w:tcPr>
          <w:p>
            <w:pPr>
              <w:spacing w:after="0"/>
              <w:rPr>
                <w:sz w:val="20"/>
                <w:szCs w:val="20"/>
                <w:color w:val="auto"/>
              </w:rPr>
            </w:pPr>
            <w:r>
              <w:rPr>
                <w:rFonts w:ascii="Arial" w:cs="Arial" w:eastAsia="Arial" w:hAnsi="Arial"/>
                <w:sz w:val="18"/>
                <w:szCs w:val="18"/>
                <w:color w:val="auto"/>
              </w:rPr>
              <w:t>By:/s/ Felicia DellaFortuna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0"/>
              </w:rPr>
              <w:t>Name: Felicia DellaFortuna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059"/>
          </w:cols>
          <w:pgMar w:left="400" w:top="1313" w:right="1440" w:bottom="1440" w:gutter="0" w:footer="0" w:header="0"/>
        </w:sectPr>
      </w:pPr>
    </w:p>
    <w:bookmarkStart w:id="65" w:name="page66"/>
    <w:bookmarkEnd w:id="65"/>
    <w:p>
      <w:pPr>
        <w:spacing w:after="0" w:line="194"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ADMINISTRATIVE AGENT, SWING LENDER</w:t>
      </w:r>
    </w:p>
    <w:p>
      <w:pPr>
        <w:ind w:left="3900"/>
        <w:spacing w:after="0"/>
        <w:rPr>
          <w:sz w:val="20"/>
          <w:szCs w:val="20"/>
          <w:color w:val="auto"/>
        </w:rPr>
      </w:pPr>
      <w:r>
        <w:rPr>
          <w:rFonts w:ascii="Arial" w:cs="Arial" w:eastAsia="Arial" w:hAnsi="Arial"/>
          <w:sz w:val="18"/>
          <w:szCs w:val="18"/>
          <w:color w:val="auto"/>
        </w:rPr>
        <w:t>and as a LENDER:</w:t>
      </w:r>
    </w:p>
    <w:p>
      <w:pPr>
        <w:spacing w:after="0" w:line="20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WHITE OAK COMMERCIAL FINANCE, LLC</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5500" w:val="left"/>
        </w:tabs>
        <w:rPr>
          <w:sz w:val="20"/>
          <w:szCs w:val="20"/>
          <w:color w:val="auto"/>
        </w:rPr>
      </w:pPr>
      <w:r>
        <w:rPr>
          <w:rFonts w:ascii="Arial" w:cs="Arial" w:eastAsia="Arial" w:hAnsi="Arial"/>
          <w:sz w:val="18"/>
          <w:szCs w:val="18"/>
          <w:color w:val="auto"/>
        </w:rPr>
        <w:t>By:/s/ Robert Dean</w:t>
      </w:r>
      <w:r>
        <w:rPr>
          <w:sz w:val="20"/>
          <w:szCs w:val="20"/>
          <w:color w:val="auto"/>
        </w:rPr>
        <w:tab/>
      </w:r>
      <w:r>
        <w:rPr>
          <w:rFonts w:ascii="Arial" w:cs="Arial" w:eastAsia="Arial" w:hAnsi="Arial"/>
          <w:sz w:val="16"/>
          <w:szCs w:val="16"/>
          <w:color w:val="auto"/>
        </w:rPr>
        <w:t>Name: Robert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-8890</wp:posOffset>
            </wp:positionV>
            <wp:extent cx="831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059"/>
          </w:cols>
          <w:pgMar w:left="400" w:top="1440"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Jonah Peretti, certify that:</w:t>
      </w:r>
    </w:p>
    <w:p>
      <w:pPr>
        <w:spacing w:after="0" w:line="18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BuzzFeed, Inc. (“the registrant”);</w:t>
      </w:r>
    </w:p>
    <w:p>
      <w:pPr>
        <w:spacing w:after="0" w:line="19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324"/>
        <w:spacing w:after="0" w:line="308" w:lineRule="auto"/>
        <w:tabs>
          <w:tab w:leader="none" w:pos="97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2023</w:t>
      </w:r>
    </w:p>
    <w:p>
      <w:pPr>
        <w:spacing w:after="0" w:line="22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734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Felicia DellaFortuna, certify that:</w:t>
      </w:r>
    </w:p>
    <w:p>
      <w:pPr>
        <w:spacing w:after="0" w:line="18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BuzzFeed, Inc. (the “registrant”);</w:t>
      </w:r>
    </w:p>
    <w:p>
      <w:pPr>
        <w:spacing w:after="0" w:line="19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hanging="324"/>
        <w:spacing w:after="0" w:line="263" w:lineRule="auto"/>
        <w:tabs>
          <w:tab w:leader="none" w:pos="9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hanging="324"/>
        <w:spacing w:after="0" w:line="308" w:lineRule="auto"/>
        <w:tabs>
          <w:tab w:leader="none" w:pos="97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hanging="324"/>
        <w:spacing w:after="0" w:line="308" w:lineRule="auto"/>
        <w:tabs>
          <w:tab w:leader="none" w:pos="97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May 10, 2023</w:t>
      </w:r>
    </w:p>
    <w:p>
      <w:pPr>
        <w:spacing w:after="0" w:line="22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734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Felicia DellaFortuna</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0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 Jonah Peretti, Chief Executive Officer of BuzzFeed, Inc.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2023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right="200" w:firstLine="332"/>
        <w:spacing w:after="0" w:line="477"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May 10, 2023</w:t>
      </w:r>
    </w:p>
    <w:p>
      <w:pPr>
        <w:spacing w:after="0" w:line="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734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0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30" w:lineRule="exact"/>
        <w:rPr>
          <w:sz w:val="20"/>
          <w:szCs w:val="20"/>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2023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right="200" w:firstLine="332"/>
        <w:spacing w:after="0" w:line="481"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May 10, 2023</w:t>
      </w:r>
    </w:p>
    <w:p>
      <w:pPr>
        <w:spacing w:after="0" w:line="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23495</wp:posOffset>
            </wp:positionV>
            <wp:extent cx="2734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Felicia DellaFortuna</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3"/>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decimal"/>
      <w:start w:val="11"/>
    </w:lvl>
  </w:abstractNum>
  <w:abstractNum w:abstractNumId="9">
    <w:nsid w:val="B03E0C6"/>
    <w:multiLevelType w:val="hybridMultilevel"/>
    <w:lvl w:ilvl="0">
      <w:lvlJc w:val="left"/>
      <w:lvlText w:val="%1."/>
      <w:numFmt w:val="decimal"/>
      <w:start w:val="15"/>
    </w:lvl>
  </w:abstractNum>
  <w:abstractNum w:abstractNumId="10">
    <w:nsid w:val="189A769B"/>
    <w:multiLevelType w:val="hybridMultilevel"/>
    <w:lvl w:ilvl="0">
      <w:lvlJc w:val="left"/>
      <w:lvlText w:val="%1."/>
      <w:numFmt w:val="decimal"/>
      <w:start w:val="18"/>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lvl w:ilvl="1">
      <w:lvlJc w:val="left"/>
      <w:lvlText w:val="%2."/>
      <w:numFmt w:val="decimal"/>
      <w:start w:val="2"/>
    </w:lvl>
  </w:abstractNum>
  <w:abstractNum w:abstractNumId="21">
    <w:nsid w:val="6CEAF087"/>
    <w:multiLevelType w:val="hybridMultilevel"/>
    <w:lvl w:ilvl="0">
      <w:lvlJc w:val="left"/>
      <w:lvlText w:val="%1."/>
      <w:numFmt w:val="decimal"/>
      <w:start w:val="5"/>
    </w:lvl>
  </w:abstractNum>
  <w:abstractNum w:abstractNumId="22">
    <w:nsid w:val="22221A70"/>
    <w:multiLevelType w:val="hybridMultilevel"/>
    <w:lvl w:ilvl="0">
      <w:lvlJc w:val="left"/>
      <w:lvlText w:val="%1."/>
      <w:numFmt w:val="decimal"/>
      <w:start w:val="8"/>
    </w:lvl>
  </w:abstractNum>
  <w:abstractNum w:abstractNumId="23">
    <w:nsid w:val="4516DDE9"/>
    <w:multiLevelType w:val="hybridMultilevel"/>
    <w:lvl w:ilvl="0">
      <w:lvlJc w:val="left"/>
      <w:lvlText w:val="%1."/>
      <w:numFmt w:val="decimal"/>
      <w:start w:val="9"/>
    </w:lvl>
    <w:lvl w:ilvl="1">
      <w:lvlJc w:val="left"/>
      <w:lvlText w:val="%2."/>
      <w:numFmt w:val="decimal"/>
      <w:start w:val="10"/>
    </w:lvl>
  </w:abstractNum>
  <w:abstractNum w:abstractNumId="24">
    <w:nsid w:val="3006C83E"/>
    <w:multiLevelType w:val="hybridMultilevel"/>
    <w:lvl w:ilvl="0">
      <w:lvlJc w:val="left"/>
      <w:lvlText w:val="%1."/>
      <w:numFmt w:val="decimal"/>
      <w:start w:val="1"/>
    </w:lvl>
    <w:lvl w:ilvl="1">
      <w:lvlJc w:val="left"/>
      <w:lvlText w:val="%2."/>
      <w:numFmt w:val="decimal"/>
      <w:start w:val="2"/>
    </w:lvl>
  </w:abstractNum>
  <w:abstractNum w:abstractNumId="25">
    <w:nsid w:val="614FD4A1"/>
    <w:multiLevelType w:val="hybridMultilevel"/>
    <w:lvl w:ilvl="0">
      <w:lvlJc w:val="left"/>
      <w:lvlText w:val="%1."/>
      <w:numFmt w:val="decimal"/>
      <w:start w:val="4"/>
    </w:lvl>
  </w:abstractNum>
  <w:abstractNum w:abstractNumId="26">
    <w:nsid w:val="419AC241"/>
    <w:multiLevelType w:val="hybridMultilevel"/>
    <w:lvl w:ilvl="0">
      <w:lvlJc w:val="left"/>
      <w:lvlText w:val="%1."/>
      <w:numFmt w:val="decimal"/>
      <w:start w:val="5"/>
    </w:lvl>
  </w:abstractNum>
  <w:abstractNum w:abstractNumId="27">
    <w:nsid w:val="5577F8E1"/>
    <w:multiLevelType w:val="hybridMultilevel"/>
    <w:lvl w:ilvl="0">
      <w:lvlJc w:val="left"/>
      <w:lvlText w:val="%1"/>
      <w:numFmt w:val="decimal"/>
      <w:start w:val="1"/>
    </w:lvl>
    <w:lvl w:ilvl="1">
      <w:lvlJc w:val="left"/>
      <w:lvlText w:val="%2."/>
      <w:numFmt w:val="decimal"/>
      <w:start w:val="7"/>
    </w:lvl>
  </w:abstractNum>
  <w:abstractNum w:abstractNumId="28">
    <w:nsid w:val="440BADFC"/>
    <w:multiLevelType w:val="hybridMultilevel"/>
    <w:lvl w:ilvl="0">
      <w:lvlJc w:val="left"/>
      <w:lvlText w:val="%1."/>
      <w:numFmt w:val="decimal"/>
      <w:start w:val="8"/>
    </w:lvl>
    <w:lvl w:ilvl="1">
      <w:lvlJc w:val="left"/>
      <w:lvlText w:val="%2"/>
      <w:numFmt w:val="decimal"/>
      <w:start w:val="1"/>
    </w:lvl>
  </w:abstractNum>
  <w:abstractNum w:abstractNumId="29">
    <w:nsid w:val="5072367"/>
    <w:multiLevelType w:val="hybridMultilevel"/>
    <w:lvl w:ilvl="0">
      <w:lvlJc w:val="left"/>
      <w:lvlText w:val="%1."/>
      <w:numFmt w:val="decimal"/>
      <w:start w:val="9"/>
    </w:lvl>
    <w:lvl w:ilvl="1">
      <w:lvlJc w:val="left"/>
      <w:lvlText w:val="%2."/>
      <w:numFmt w:val="decimal"/>
      <w:start w:val="10"/>
    </w:lvl>
  </w:abstractNum>
  <w:abstractNum w:abstractNumId="30">
    <w:nsid w:val="3804823E"/>
    <w:multiLevelType w:val="hybridMultilevel"/>
    <w:lvl w:ilvl="0">
      <w:lvlJc w:val="left"/>
      <w:lvlText w:val="%1."/>
      <w:numFmt w:val="decimal"/>
      <w:start w:val="1"/>
    </w:lvl>
    <w:lvl w:ilvl="1">
      <w:lvlJc w:val="left"/>
      <w:lvlText w:val="%2."/>
      <w:numFmt w:val="lowerLetter"/>
      <w:start w:val="1"/>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lowerRoman"/>
      <w:start w:val="3"/>
    </w:lvl>
  </w:abstractNum>
  <w:abstractNum w:abstractNumId="33">
    <w:nsid w:val="5C482A97"/>
    <w:multiLevelType w:val="hybridMultilevel"/>
    <w:lvl w:ilvl="0">
      <w:lvlJc w:val="left"/>
      <w:lvlText w:val="(%1)"/>
      <w:numFmt w:val="lowerRoman"/>
      <w:start w:val="1"/>
    </w:lvl>
    <w:lvl w:ilvl="1">
      <w:lvlJc w:val="left"/>
      <w:lvlText w:val="(%2)"/>
      <w:numFmt w:val="lowerRoman"/>
      <w:start w:val="2"/>
    </w:lvl>
  </w:abstractNum>
  <w:abstractNum w:abstractNumId="34">
    <w:nsid w:val="2463B9EA"/>
    <w:multiLevelType w:val="hybridMultilevel"/>
    <w:lvl w:ilvl="0">
      <w:lvlJc w:val="left"/>
      <w:lvlText w:val="%1"/>
      <w:numFmt w:val="lowerLetter"/>
      <w:start w:val="1"/>
    </w:lvl>
    <w:lvl w:ilvl="1">
      <w:lvlJc w:val="left"/>
      <w:lvlText w:val="(%2)"/>
      <w:numFmt w:val="lowerRoman"/>
      <w:start w:val="4"/>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37">
    <w:nsid w:val="2D517796"/>
    <w:multiLevelType w:val="hybridMultilevel"/>
    <w:lvl w:ilvl="0">
      <w:lvlJc w:val="left"/>
      <w:lvlText w:val="%1."/>
      <w:numFmt w:val="decimal"/>
      <w:start w:val="6"/>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62" Type="http://schemas.openxmlformats.org/officeDocument/2006/relationships/hyperlink" Target="https://www.sec.gov/Archives/edgar/data/1828972/000110465921085218/tm2120621d1_ex2-1.htm" TargetMode="External"/><Relationship Id="rId63" Type="http://schemas.openxmlformats.org/officeDocument/2006/relationships/hyperlink" Target="https://www.sec.gov/Archives/edgar/data/1828972/000110465921148188/tm2134844d1_ex3-2.htm" TargetMode="External"/><Relationship Id="rId64" Type="http://schemas.openxmlformats.org/officeDocument/2006/relationships/hyperlink" Target="https://www.sec.gov/Archives/edgar/data/1828972/000110465921136139/tm2122219-17_s4a.htm#tANNA1" TargetMode="External"/><Relationship Id="rId65" Type="http://schemas.openxmlformats.org/officeDocument/2006/relationships/hyperlink" Target="https://www.sec.gov/Archives/edgar/data/1828972/000110465921098380/tm2122219d3_ex2-2.htm" TargetMode="External"/><Relationship Id="rId66" Type="http://schemas.openxmlformats.org/officeDocument/2006/relationships/hyperlink" Target="https://www.sec.gov/Archives/edgar/data/1828972/000110465921098380/tm2122219d3_ex2-3.htm" TargetMode="External"/><Relationship Id="rId67" Type="http://schemas.openxmlformats.org/officeDocument/2006/relationships/hyperlink" Target="https://www.sec.gov/Archives/edgar/data/1828972/000110465921148188/tm2134844d1_ex3-1.htm" TargetMode="External"/><Relationship Id="rId68" Type="http://schemas.openxmlformats.org/officeDocument/2006/relationships/hyperlink" Target="https://www.sec.gov/Archives/edgar/data/1828972/000182897223000025/exhibit31delaware-buzzfe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2023-05-10T16:18:58Z</dcterms:created>
  <dcterms:modified xsi:type="dcterms:W3CDTF">2023-05-10T16:18:58Z</dcterms:modified>
</cp:coreProperties>
</file>