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18"/>
        </w:rPr>
        <w:t>For the quarterly period ended</w:t>
      </w:r>
      <w:r>
        <w:rPr>
          <w:color w:val="000000"/>
        </w:rPr>
        <w:t xml:space="preserve"> </w:t>
      </w:r>
      <w:r>
        <w:rPr>
          <w:rFonts w:ascii="Times New Roman;sans-serif" w:hAnsi="Times New Roman;sans-serif"/>
          <w:b/>
          <w:color w:val="000000"/>
          <w:sz w:val="18"/>
        </w:rPr>
        <w:t>March 31, 2024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bidi w:val="0"/>
        <w:spacing w:lineRule="auto" w:line="288" w:before="60" w:after="283"/>
        <w:jc w:val="center"/>
        <w:rPr/>
      </w:pPr>
      <w:r>
        <w:rPr>
          <w:rFonts w:ascii="Times New Roman;sans-serif" w:hAnsi="Times New Roman;sans-serif"/>
          <w:b/>
          <w:color w:val="000000"/>
          <w:sz w:val="18"/>
        </w:rPr>
        <w:t>Commission file number:</w:t>
      </w:r>
      <w:r>
        <w:rPr>
          <w:color w:val="000000"/>
        </w:rPr>
        <w:t xml:space="preserve"> </w:t>
      </w:r>
      <w:r>
        <w:rPr>
          <w:rFonts w:ascii="Times New Roman;sans-serif" w:hAnsi="Times New Roman;sans-serif"/>
          <w:b/>
          <w:color w:val="000000"/>
          <w:sz w:val="18"/>
        </w:rPr>
        <w:t>001-39877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BuzzFeed,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tbl>
      <w:tblPr>
        <w:tblW w:w="7362"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85-3022075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229 West 43rd Street 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10036</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(646) 397-2039</w:t>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83"/>
        <w:gridCol w:w="2098"/>
        <w:gridCol w:w="2106"/>
        <w:gridCol w:w="394"/>
        <w:gridCol w:w="373"/>
        <w:gridCol w:w="375"/>
        <w:gridCol w:w="635"/>
        <w:gridCol w:w="635"/>
        <w:gridCol w:w="906"/>
      </w:tblGrid>
      <w:tr>
        <w:trPr/>
        <w:tc>
          <w:tcPr>
            <w:tcW w:w="268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1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2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6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$0.0001 par value per share</w:t>
            </w:r>
          </w:p>
        </w:tc>
        <w:tc>
          <w:tcPr>
            <w:tcW w:w="11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BZFD</w:t>
            </w:r>
          </w:p>
        </w:tc>
        <w:tc>
          <w:tcPr>
            <w:tcW w:w="2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r>
        <w:trPr/>
        <w:tc>
          <w:tcPr>
            <w:tcW w:w="68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warrants, each whole warrant exercisable for one share of Class A Common Stock at an exercise price of approximately $46.00 per share</w:t>
            </w:r>
          </w:p>
        </w:tc>
        <w:tc>
          <w:tcPr>
            <w:tcW w:w="11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BZFDW</w:t>
            </w:r>
          </w:p>
        </w:tc>
        <w:tc>
          <w:tcPr>
            <w:tcW w:w="21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May 10, 2024, there were 35,240,395 shares of the registrant’s Class A common stock outstanding, 1,368,526 shares of the registrant’s Class B common stock outstanding and no shares of the registrant’s Class C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272" w:type="dxa"/>
        <w:jc w:val="left"/>
        <w:tblInd w:w="0" w:type="dxa"/>
        <w:tblLayout w:type="fixed"/>
        <w:tblCellMar>
          <w:top w:w="28" w:type="dxa"/>
          <w:left w:w="28" w:type="dxa"/>
          <w:bottom w:w="28" w:type="dxa"/>
          <w:right w:w="28" w:type="dxa"/>
        </w:tblCellMar>
      </w:tblPr>
      <w:tblGrid>
        <w:gridCol w:w="494"/>
        <w:gridCol w:w="433"/>
        <w:gridCol w:w="439"/>
        <w:gridCol w:w="2454"/>
        <w:gridCol w:w="2454"/>
        <w:gridCol w:w="2457"/>
        <w:gridCol w:w="158"/>
        <w:gridCol w:w="158"/>
        <w:gridCol w:w="225"/>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3">
              <w:r>
                <w:rPr>
                  <w:rStyle w:val="InternetLink"/>
                  <w:rFonts w:ascii="Times New Roman;sans-serif" w:hAnsi="Times New Roman;sans-serif"/>
                  <w:b/>
                  <w:color w:val="0000FF"/>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3">
              <w:r>
                <w:rPr>
                  <w:rStyle w:val="InternetLink"/>
                  <w:rFonts w:ascii="Times New Roman;sans-serif" w:hAnsi="Times New Roman;sans-serif"/>
                  <w:b/>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3">
              <w:r>
                <w:rPr>
                  <w:rStyle w:val="InternetLink"/>
                  <w:rFonts w:ascii="Times New Roman;sans-serif" w:hAnsi="Times New Roman;sans-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
              <w:r>
                <w:rPr>
                  <w:rStyle w:val="InternetLink"/>
                  <w:rFonts w:ascii="Times New Roman;sans-serif" w:hAnsi="Times New Roman;sans-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6">
              <w:r>
                <w:rPr>
                  <w:rStyle w:val="InternetLink"/>
                  <w:rFonts w:ascii="Times New Roman;sans-serif" w:hAnsi="Times New Roman;sans-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9">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9">
              <w:r>
                <w:rPr>
                  <w:rStyle w:val="InternetLink"/>
                  <w:rFonts w:ascii="Times New Roman;sans-serif" w:hAnsi="Times New Roman;sans-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22">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22">
              <w:r>
                <w:rPr>
                  <w:rStyle w:val="InternetLink"/>
                  <w:rFonts w:ascii="Times New Roman;sans-serif" w:hAnsi="Times New Roman;sans-serif"/>
                  <w:b w:val="false"/>
                  <w:strike w:val="false"/>
                  <w:dstrike w:val="false"/>
                  <w:color w:val="000000"/>
                  <w:sz w:val="20"/>
                  <w:u w:val="none"/>
                  <w:effect w:val="none"/>
                </w:rPr>
                <w:t>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25">
              <w:r>
                <w:rPr>
                  <w:rStyle w:val="InternetLink"/>
                  <w:rFonts w:ascii="Times New Roman;sans-serif" w:hAnsi="Times New Roman;sans-serif"/>
                  <w:b w:val="false"/>
                  <w:color w:val="0000FF"/>
                  <w:sz w:val="20"/>
                  <w:u w:val="single"/>
                </w:rPr>
                <w:t>Condensed Consolidated Statements of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25">
              <w:r>
                <w:rPr>
                  <w:rStyle w:val="InternetLink"/>
                  <w:rFonts w:ascii="Times New Roman;sans-serif" w:hAnsi="Times New Roman;sans-serif"/>
                  <w:b w:val="false"/>
                  <w:strike w:val="false"/>
                  <w:dstrike w:val="false"/>
                  <w:color w:val="000000"/>
                  <w:sz w:val="20"/>
                  <w:u w:val="none"/>
                  <w:effect w:val="none"/>
                </w:rPr>
                <w:t>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28">
              <w:r>
                <w:rPr>
                  <w:rStyle w:val="InternetLink"/>
                  <w:rFonts w:ascii="Times New Roman;sans-serif" w:hAnsi="Times New Roman;sans-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28">
              <w:r>
                <w:rPr>
                  <w:rStyle w:val="InternetLink"/>
                  <w:rFonts w:ascii="Times New Roman;sans-serif" w:hAnsi="Times New Roman;sans-serif"/>
                  <w:b w:val="false"/>
                  <w:strike w:val="false"/>
                  <w:dstrike w:val="false"/>
                  <w:color w:val="000000"/>
                  <w:sz w:val="20"/>
                  <w:u w:val="none"/>
                  <w:effect w:val="none"/>
                </w:rPr>
                <w:t>8</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31">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31">
              <w:r>
                <w:rPr>
                  <w:rStyle w:val="InternetLink"/>
                  <w:rFonts w:ascii="Times New Roman;sans-serif" w:hAnsi="Times New Roman;sans-serif"/>
                  <w:b w:val="false"/>
                  <w:strike w:val="false"/>
                  <w:dstrike w:val="false"/>
                  <w:color w:val="000000"/>
                  <w:sz w:val="20"/>
                  <w:u w:val="none"/>
                  <w:effect w:val="none"/>
                </w:rPr>
                <w:t>9</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34">
              <w:r>
                <w:rPr>
                  <w:rStyle w:val="InternetLink"/>
                  <w:rFonts w:ascii="Times New Roman;sans-serif" w:hAnsi="Times New Roman;sans-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34">
              <w:r>
                <w:rPr>
                  <w:rStyle w:val="InternetLink"/>
                  <w:rFonts w:ascii="Times New Roman;sans-serif" w:hAnsi="Times New Roman;sans-serif"/>
                  <w:b w:val="false"/>
                  <w:strike w:val="false"/>
                  <w:dstrike w:val="false"/>
                  <w:color w:val="000000"/>
                  <w:sz w:val="20"/>
                  <w:u w:val="none"/>
                  <w:effect w:val="none"/>
                </w:rPr>
                <w:t>10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06">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06">
              <w:r>
                <w:rPr>
                  <w:rStyle w:val="InternetLink"/>
                  <w:rFonts w:ascii="Times New Roman;sans-serif" w:hAnsi="Times New Roman;sans-serif"/>
                  <w:b w:val="false"/>
                  <w:strike w:val="false"/>
                  <w:dstrike w:val="false"/>
                  <w:color w:val="000000"/>
                  <w:sz w:val="20"/>
                  <w:u w:val="none"/>
                  <w:effect w:val="none"/>
                </w:rPr>
                <w:t>32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57">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57">
              <w:r>
                <w:rPr>
                  <w:rStyle w:val="InternetLink"/>
                  <w:rFonts w:ascii="Times New Roman;sans-serif" w:hAnsi="Times New Roman;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57">
              <w:r>
                <w:rPr>
                  <w:rStyle w:val="InternetLink"/>
                  <w:rFonts w:ascii="Times New Roman;sans-serif" w:hAnsi="Times New Roman;sans-serif"/>
                  <w:b w:val="false"/>
                  <w:strike w:val="false"/>
                  <w:dstrike w:val="false"/>
                  <w:color w:val="000000"/>
                  <w:sz w:val="20"/>
                  <w:u w:val="none"/>
                  <w:effect w:val="none"/>
                </w:rPr>
                <w:t>47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0">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0">
              <w:r>
                <w:rPr>
                  <w:rStyle w:val="InternetLink"/>
                  <w:rFonts w:ascii="Times New Roman;sans-serif" w:hAnsi="Times New Roman;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60">
              <w:r>
                <w:rPr>
                  <w:rStyle w:val="InternetLink"/>
                  <w:rFonts w:ascii="Times New Roman;sans-serif" w:hAnsi="Times New Roman;sans-serif"/>
                  <w:b w:val="false"/>
                  <w:strike w:val="false"/>
                  <w:dstrike w:val="false"/>
                  <w:color w:val="000000"/>
                  <w:sz w:val="20"/>
                  <w:u w:val="none"/>
                  <w:effect w:val="none"/>
                </w:rPr>
                <w:t>47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3">
              <w:r>
                <w:rPr>
                  <w:rStyle w:val="InternetLink"/>
                  <w:rFonts w:ascii="Times New Roman;sans-serif" w:hAnsi="Times New Roman;sans-serif"/>
                  <w:b/>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3">
              <w:r>
                <w:rPr>
                  <w:rStyle w:val="InternetLink"/>
                  <w:rFonts w:ascii="Times New Roman;sans-serif" w:hAnsi="Times New Roman;sans-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63">
              <w:r>
                <w:rPr>
                  <w:rStyle w:val="InternetLink"/>
                  <w:rFonts w:ascii="Times New Roman;sans-serif" w:hAnsi="Times New Roman;sans-serif"/>
                  <w:b w:val="false"/>
                  <w:strike w:val="false"/>
                  <w:dstrike w:val="false"/>
                  <w:color w:val="000000"/>
                  <w:sz w:val="20"/>
                  <w:u w:val="none"/>
                  <w:effect w:val="none"/>
                </w:rPr>
                <w:t>48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6">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6">
              <w:r>
                <w:rPr>
                  <w:rStyle w:val="InternetLink"/>
                  <w:rFonts w:ascii="Times New Roman;sans-serif" w:hAnsi="Times New Roman;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66">
              <w:r>
                <w:rPr>
                  <w:rStyle w:val="InternetLink"/>
                  <w:rFonts w:ascii="Times New Roman;sans-serif" w:hAnsi="Times New Roman;sans-serif"/>
                  <w:b w:val="false"/>
                  <w:strike w:val="false"/>
                  <w:dstrike w:val="false"/>
                  <w:color w:val="000000"/>
                  <w:sz w:val="20"/>
                  <w:u w:val="none"/>
                  <w:effect w:val="none"/>
                </w:rPr>
                <w:t>49</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9">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69">
              <w:r>
                <w:rPr>
                  <w:rStyle w:val="InternetLink"/>
                  <w:rFonts w:ascii="Times New Roman;sans-serif" w:hAnsi="Times New Roman;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69">
              <w:r>
                <w:rPr>
                  <w:rStyle w:val="InternetLink"/>
                  <w:rFonts w:ascii="Times New Roman;sans-serif" w:hAnsi="Times New Roman;sans-serif"/>
                  <w:b w:val="false"/>
                  <w:strike w:val="false"/>
                  <w:dstrike w:val="false"/>
                  <w:color w:val="000000"/>
                  <w:sz w:val="20"/>
                  <w:u w:val="none"/>
                  <w:effect w:val="none"/>
                </w:rPr>
                <w:t>50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72">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72">
              <w:r>
                <w:rPr>
                  <w:rStyle w:val="InternetLink"/>
                  <w:rFonts w:ascii="Times New Roman;sans-serif" w:hAnsi="Times New Roman;sans-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72">
              <w:r>
                <w:rPr>
                  <w:rStyle w:val="InternetLink"/>
                  <w:rFonts w:ascii="Times New Roman;sans-serif" w:hAnsi="Times New Roman;sans-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75">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75">
              <w:r>
                <w:rPr>
                  <w:rStyle w:val="InternetLink"/>
                  <w:rFonts w:ascii="Times New Roman;sans-serif" w:hAnsi="Times New Roman;sans-serif"/>
                  <w:b w:val="false"/>
                  <w:color w:val="0000FF"/>
                  <w:sz w:val="20"/>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75">
              <w:r>
                <w:rPr>
                  <w:rStyle w:val="InternetLink"/>
                  <w:rFonts w:ascii="Times New Roman;sans-serif" w:hAnsi="Times New Roman;sans-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78">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78">
              <w:r>
                <w:rPr>
                  <w:rStyle w:val="InternetLink"/>
                  <w:rFonts w:ascii="Times New Roman;sans-serif" w:hAnsi="Times New Roman;sans-serif"/>
                  <w:b w:val="false"/>
                  <w:color w:val="0000FF"/>
                  <w:sz w:val="20"/>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78">
              <w:r>
                <w:rPr>
                  <w:rStyle w:val="InternetLink"/>
                  <w:rFonts w:ascii="Times New Roman;sans-serif" w:hAnsi="Times New Roman;sans-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81">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81">
              <w:r>
                <w:rPr>
                  <w:rStyle w:val="InternetLink"/>
                  <w:rFonts w:ascii="Times New Roman;sans-serif" w:hAnsi="Times New Roman;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81">
              <w:r>
                <w:rPr>
                  <w:rStyle w:val="InternetLink"/>
                  <w:rFonts w:ascii="Times New Roman;sans-serif" w:hAnsi="Times New Roman;sans-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84">
              <w:r>
                <w:rPr>
                  <w:rStyle w:val="InternetLink"/>
                  <w:rFonts w:ascii="Times New Roman;sans-serif" w:hAnsi="Times New Roman;sans-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84">
              <w:r>
                <w:rPr>
                  <w:rStyle w:val="InternetLink"/>
                  <w:rFonts w:ascii="Times New Roman;sans-serif" w:hAnsi="Times New Roman;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84">
              <w:r>
                <w:rPr>
                  <w:rStyle w:val="InternetLink"/>
                  <w:rFonts w:ascii="Times New Roman;sans-serif" w:hAnsi="Times New Roman;sans-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40b2350d094a00ab5b5f82bc991da9_187">
              <w:r>
                <w:rPr>
                  <w:rStyle w:val="InternetLink"/>
                  <w:rFonts w:ascii="Times New Roman;sans-serif" w:hAnsi="Times New Roman;sans-serif"/>
                  <w:b/>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f40b2350d094a00ab5b5f82bc991da9_187">
              <w:r>
                <w:rPr>
                  <w:rStyle w:val="InternetLink"/>
                  <w:rFonts w:ascii="Times New Roman;sans-serif" w:hAnsi="Times New Roman;sans-serif"/>
                  <w:b w:val="false"/>
                  <w:strike w:val="false"/>
                  <w:dstrike w:val="false"/>
                  <w:color w:val="000000"/>
                  <w:sz w:val="20"/>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include all matters that are not historical facts.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developments relating to our competitors and the digital media industry, including overall demand of advertising in the markets in which we operate;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demand for our products and services or changes in traffic or engagement with our brands and content;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the business and competitive environment in which we and our current and prospective partners and advertisers operate;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macroeconomic factors including: adverse economic conditions in the United States (“U.S.”) and globally, including the potential onset of recession; current global supply chain disruptions; potential government shutdowns or a failure to raise the U.S. federal debt ceiling or to fund the federal government; the ongoing conflicts between Russia and Ukraine and between Israel and Hamas and any related sanctions and geopolitical tensions, and further escalation of trade tensions between the U.S. and China; the inflationary environment; high unemployment; high interest rates, currency fluctuations; and the competitive labor market;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future capital requirements, including, but not limited to, our ability to obtain additional capital in the future, to settle conversions of our unsecured convertible notes, repurchase the notes upon a fundamental change such as the delisting of our Class A common stock, or repay the notes in cash at their maturity, any restrictions imposed by, or commitments under, the indenture governing the notes or agreements governing any future indebtedness, and any restrictions on our ability to access our cash and cash equivalents;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developments in the law and government regulation, including, but not limited to, revised foreign content and ownership regulations, and the outcomes of legal proceedings, regulatory disputes or governmental investigations to which we are subject;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benefits of our restructuring;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success divesting of companies, assets or brands we sell or in integrating and supporting the companies we acquire;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technological developments including artificial intelligence;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success in retaining or recruiting, or changes required in, officers, other key employees or directors;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use of content creators and on-camera talent and relationships with third parties managing certain of our branded operations outside of the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security of our information technology (“IT”) systems or data;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disruption in our service, or by our failure to timely and effectively scale and adapt our existing technology and infrastructure;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maintain the listing of our Class A common stock and warrants on The Nasdaq Capital Market (“Nasdaq”);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other factors detailed under the section entitled “Risk Factors” in our Annual Report on Form 10-K for the year ended December 31, 2023 and this Quarterly Report on Form 10-Q.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in our Annual Report on Form 10-K for the year ended December 31, 2023 and this Quarterly Report on Form 10-Q. These and other factors could cause results to differ materially from those expressed in these publications and reports.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we may announce material business and financial information to our investors using our investor relations website (https://investors.buzzfeed.com), U.S. Securities and Exchange Commission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BUZZFEED,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CONDENSED CONSOLIDATED BALANCE SHEETS </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Dollars and shares in thousands, except per share amounts</w:t>
      </w:r>
      <w:r>
        <w:rPr>
          <w:rFonts w:ascii="Times New Roman;sans-serif" w:hAnsi="Times New Roman;sans-serif"/>
          <w:b w:val="false"/>
          <w:color w:val="000000"/>
          <w:sz w:val="16"/>
        </w:rPr>
        <w:t>)</w:t>
      </w:r>
    </w:p>
    <w:tbl>
      <w:tblPr>
        <w:tblW w:w="10205" w:type="dxa"/>
        <w:jc w:val="center"/>
        <w:tblInd w:w="0" w:type="dxa"/>
        <w:tblLayout w:type="fixed"/>
        <w:tblCellMar>
          <w:top w:w="28" w:type="dxa"/>
          <w:left w:w="28" w:type="dxa"/>
          <w:bottom w:w="28" w:type="dxa"/>
          <w:right w:w="28" w:type="dxa"/>
        </w:tblCellMar>
      </w:tblPr>
      <w:tblGrid>
        <w:gridCol w:w="2839"/>
        <w:gridCol w:w="2376"/>
        <w:gridCol w:w="2367"/>
        <w:gridCol w:w="217"/>
        <w:gridCol w:w="833"/>
        <w:gridCol w:w="120"/>
        <w:gridCol w:w="109"/>
        <w:gridCol w:w="109"/>
        <w:gridCol w:w="109"/>
        <w:gridCol w:w="199"/>
        <w:gridCol w:w="766"/>
        <w:gridCol w:w="161"/>
      </w:tblGrid>
      <w:tr>
        <w:trPr/>
        <w:tc>
          <w:tcPr>
            <w:tcW w:w="283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35,637 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doubtful accounts of $1,351 as at March 31, 2024 and $1,424 as at December 31, 2023)</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 of discontinued operations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132,913 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132,789 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costs,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 of discontinued operations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299,037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411,476</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lease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debt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 of discontinued operations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189,737 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227,795 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lease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 of discontinued operations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223,197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300,293</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758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700,000 shares authorized; 35,079 and 35,035 shares issued and outstanding at March 31, 2024 and December 31, 2023, respectively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20,000 shares authorized; 1,368 and 1,368 shares issued and outstanding at March 31, 2024 and December 31, 2023, respectively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723,868 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723,092 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(647,497)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(611,768)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BuzzFeed, Inc. stockholders’ equity</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108,828 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111,183 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299,037</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411,476</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pPr>
      <w:r>
        <w:rPr>
          <w:rFonts w:ascii="Times New Roman;sans-serif" w:hAnsi="Times New Roman;sans-serif"/>
          <w:b w:val="false"/>
          <w:i/>
          <w:color w:val="000000"/>
          <w:sz w:val="20"/>
        </w:rPr>
        <w:t>(Unaudited, dollars and shares</w:t>
      </w:r>
      <w:r>
        <w:rPr>
          <w:color w:val="000000"/>
        </w:rPr>
        <w:t xml:space="preserve"> </w:t>
      </w:r>
      <w:r>
        <w:rPr>
          <w:rFonts w:ascii="Times New Roman;sans-serif" w:hAnsi="Times New Roman;sans-serif"/>
          <w:b w:val="false"/>
          <w:color w:val="000000"/>
          <w:sz w:val="20"/>
        </w:rPr>
        <w:t>i</w:t>
      </w:r>
      <w:r>
        <w:rPr>
          <w:rFonts w:ascii="Times New Roman;sans-serif" w:hAnsi="Times New Roman;sans-serif"/>
          <w:b w:val="false"/>
          <w:i/>
          <w:color w:val="000000"/>
          <w:sz w:val="20"/>
        </w:rPr>
        <w:t>n thousands, except per share amounts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631"/>
        <w:gridCol w:w="2265"/>
        <w:gridCol w:w="2283"/>
        <w:gridCol w:w="211"/>
        <w:gridCol w:w="788"/>
        <w:gridCol w:w="109"/>
        <w:gridCol w:w="109"/>
        <w:gridCol w:w="109"/>
        <w:gridCol w:w="109"/>
        <w:gridCol w:w="211"/>
        <w:gridCol w:w="788"/>
        <w:gridCol w:w="109"/>
        <w:gridCol w:w="109"/>
        <w:gridCol w:w="109"/>
        <w:gridCol w:w="109"/>
        <w:gridCol w:w="156"/>
      </w:tblGrid>
      <w:tr>
        <w:trPr/>
        <w:tc>
          <w:tcPr>
            <w:tcW w:w="2631"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continuing operations before income taxes </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 net of tax</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BuzzFeed,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 attributable to holders of Class A and Class B common stock:</w:t>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 per Class A and Class B common share:</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 in thousands)</w:t>
      </w:r>
    </w:p>
    <w:tbl>
      <w:tblPr>
        <w:tblW w:w="9594" w:type="dxa"/>
        <w:jc w:val="left"/>
        <w:tblInd w:w="0" w:type="dxa"/>
        <w:tblLayout w:type="fixed"/>
        <w:tblCellMar>
          <w:top w:w="28" w:type="dxa"/>
          <w:left w:w="28" w:type="dxa"/>
          <w:bottom w:w="28" w:type="dxa"/>
          <w:right w:w="28" w:type="dxa"/>
        </w:tblCellMar>
      </w:tblPr>
      <w:tblGrid>
        <w:gridCol w:w="2372"/>
        <w:gridCol w:w="2071"/>
        <w:gridCol w:w="2111"/>
        <w:gridCol w:w="211"/>
        <w:gridCol w:w="796"/>
        <w:gridCol w:w="109"/>
        <w:gridCol w:w="109"/>
        <w:gridCol w:w="109"/>
        <w:gridCol w:w="109"/>
        <w:gridCol w:w="211"/>
        <w:gridCol w:w="796"/>
        <w:gridCol w:w="109"/>
        <w:gridCol w:w="109"/>
        <w:gridCol w:w="109"/>
        <w:gridCol w:w="109"/>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attributable to noncontrolling interests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BuzzFeed,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 in thousands)</w:t>
      </w:r>
    </w:p>
    <w:tbl>
      <w:tblPr>
        <w:tblW w:w="14068" w:type="dxa"/>
        <w:jc w:val="left"/>
        <w:tblInd w:w="0" w:type="dxa"/>
        <w:tblLayout w:type="fixed"/>
        <w:tblCellMar>
          <w:top w:w="28" w:type="dxa"/>
          <w:left w:w="28" w:type="dxa"/>
          <w:bottom w:w="28" w:type="dxa"/>
          <w:right w:w="28" w:type="dxa"/>
        </w:tblCellMar>
      </w:tblPr>
      <w:tblGrid>
        <w:gridCol w:w="588"/>
        <w:gridCol w:w="201"/>
        <w:gridCol w:w="202"/>
        <w:gridCol w:w="270"/>
        <w:gridCol w:w="271"/>
        <w:gridCol w:w="171"/>
        <w:gridCol w:w="109"/>
        <w:gridCol w:w="109"/>
        <w:gridCol w:w="109"/>
        <w:gridCol w:w="206"/>
        <w:gridCol w:w="240"/>
        <w:gridCol w:w="125"/>
        <w:gridCol w:w="109"/>
        <w:gridCol w:w="109"/>
        <w:gridCol w:w="109"/>
        <w:gridCol w:w="233"/>
        <w:gridCol w:w="233"/>
        <w:gridCol w:w="171"/>
        <w:gridCol w:w="109"/>
        <w:gridCol w:w="109"/>
        <w:gridCol w:w="109"/>
        <w:gridCol w:w="206"/>
        <w:gridCol w:w="240"/>
        <w:gridCol w:w="125"/>
        <w:gridCol w:w="109"/>
        <w:gridCol w:w="109"/>
        <w:gridCol w:w="109"/>
        <w:gridCol w:w="203"/>
        <w:gridCol w:w="203"/>
        <w:gridCol w:w="171"/>
        <w:gridCol w:w="109"/>
        <w:gridCol w:w="109"/>
        <w:gridCol w:w="109"/>
        <w:gridCol w:w="181"/>
        <w:gridCol w:w="406"/>
        <w:gridCol w:w="109"/>
        <w:gridCol w:w="109"/>
        <w:gridCol w:w="109"/>
        <w:gridCol w:w="109"/>
        <w:gridCol w:w="181"/>
        <w:gridCol w:w="616"/>
        <w:gridCol w:w="109"/>
        <w:gridCol w:w="109"/>
        <w:gridCol w:w="109"/>
        <w:gridCol w:w="109"/>
        <w:gridCol w:w="181"/>
        <w:gridCol w:w="631"/>
        <w:gridCol w:w="109"/>
        <w:gridCol w:w="109"/>
        <w:gridCol w:w="109"/>
        <w:gridCol w:w="109"/>
        <w:gridCol w:w="232"/>
        <w:gridCol w:w="618"/>
        <w:gridCol w:w="141"/>
        <w:gridCol w:w="109"/>
        <w:gridCol w:w="109"/>
        <w:gridCol w:w="109"/>
        <w:gridCol w:w="182"/>
        <w:gridCol w:w="622"/>
        <w:gridCol w:w="112"/>
        <w:gridCol w:w="109"/>
        <w:gridCol w:w="109"/>
        <w:gridCol w:w="109"/>
        <w:gridCol w:w="244"/>
        <w:gridCol w:w="629"/>
        <w:gridCol w:w="148"/>
        <w:gridCol w:w="327"/>
        <w:gridCol w:w="182"/>
        <w:gridCol w:w="622"/>
        <w:gridCol w:w="157"/>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7" w:type="dxa"/>
            <w:gridSpan w:val="6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March 31, 2024</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January 1, 2024</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35,035 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723,092 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108,828 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111,183 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(35,729)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in connection with share-based plans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for employee taxes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2024</w:t>
            </w:r>
          </w:p>
        </w:tc>
        <w:tc>
          <w:tcPr>
            <w:tcW w:w="5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35,079 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1,368 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723,868 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(647,497)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(2,677)</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73,698 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2,142 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75,840 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tbl>
      <w:tblPr>
        <w:tblW w:w="13925" w:type="dxa"/>
        <w:jc w:val="left"/>
        <w:tblInd w:w="0" w:type="dxa"/>
        <w:tblLayout w:type="fixed"/>
        <w:tblCellMar>
          <w:top w:w="28" w:type="dxa"/>
          <w:left w:w="28" w:type="dxa"/>
          <w:bottom w:w="28" w:type="dxa"/>
          <w:right w:w="28" w:type="dxa"/>
        </w:tblCellMar>
      </w:tblPr>
      <w:tblGrid>
        <w:gridCol w:w="588"/>
        <w:gridCol w:w="201"/>
        <w:gridCol w:w="202"/>
        <w:gridCol w:w="170"/>
        <w:gridCol w:w="170"/>
        <w:gridCol w:w="171"/>
        <w:gridCol w:w="109"/>
        <w:gridCol w:w="109"/>
        <w:gridCol w:w="109"/>
        <w:gridCol w:w="181"/>
        <w:gridCol w:w="406"/>
        <w:gridCol w:w="109"/>
        <w:gridCol w:w="109"/>
        <w:gridCol w:w="109"/>
        <w:gridCol w:w="109"/>
        <w:gridCol w:w="170"/>
        <w:gridCol w:w="170"/>
        <w:gridCol w:w="171"/>
        <w:gridCol w:w="109"/>
        <w:gridCol w:w="109"/>
        <w:gridCol w:w="109"/>
        <w:gridCol w:w="181"/>
        <w:gridCol w:w="406"/>
        <w:gridCol w:w="109"/>
        <w:gridCol w:w="109"/>
        <w:gridCol w:w="109"/>
        <w:gridCol w:w="109"/>
        <w:gridCol w:w="170"/>
        <w:gridCol w:w="170"/>
        <w:gridCol w:w="171"/>
        <w:gridCol w:w="109"/>
        <w:gridCol w:w="109"/>
        <w:gridCol w:w="109"/>
        <w:gridCol w:w="181"/>
        <w:gridCol w:w="406"/>
        <w:gridCol w:w="109"/>
        <w:gridCol w:w="109"/>
        <w:gridCol w:w="109"/>
        <w:gridCol w:w="109"/>
        <w:gridCol w:w="181"/>
        <w:gridCol w:w="616"/>
        <w:gridCol w:w="109"/>
        <w:gridCol w:w="109"/>
        <w:gridCol w:w="109"/>
        <w:gridCol w:w="109"/>
        <w:gridCol w:w="181"/>
        <w:gridCol w:w="631"/>
        <w:gridCol w:w="109"/>
        <w:gridCol w:w="109"/>
        <w:gridCol w:w="109"/>
        <w:gridCol w:w="109"/>
        <w:gridCol w:w="232"/>
        <w:gridCol w:w="618"/>
        <w:gridCol w:w="141"/>
        <w:gridCol w:w="109"/>
        <w:gridCol w:w="109"/>
        <w:gridCol w:w="109"/>
        <w:gridCol w:w="182"/>
        <w:gridCol w:w="622"/>
        <w:gridCol w:w="112"/>
        <w:gridCol w:w="109"/>
        <w:gridCol w:w="109"/>
        <w:gridCol w:w="109"/>
        <w:gridCol w:w="244"/>
        <w:gridCol w:w="629"/>
        <w:gridCol w:w="148"/>
        <w:gridCol w:w="327"/>
        <w:gridCol w:w="182"/>
        <w:gridCol w:w="622"/>
        <w:gridCol w:w="157"/>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4" w:type="dxa"/>
            <w:gridSpan w:val="6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March 31, 2023</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9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January 1, 2023</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191,217 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194,554 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 effect of accounting change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(36,261)</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1,122</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in connection with share-based plans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29</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for employee taxes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(193)</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(759)</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common stock to Class A common stock</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C common stock to Class A common stock</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2023</w:t>
            </w:r>
          </w:p>
        </w:tc>
        <w:tc>
          <w:tcPr>
            <w:tcW w:w="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717,202 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(559,190)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(2,669)</w:t>
            </w:r>
          </w:p>
        </w:tc>
        <w:tc>
          <w:tcPr>
            <w:tcW w:w="1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155,347 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3,019 </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158,366 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 in thousands)</w:t>
      </w:r>
    </w:p>
    <w:tbl>
      <w:tblPr>
        <w:tblW w:w="8064" w:type="dxa"/>
        <w:jc w:val="left"/>
        <w:tblInd w:w="0" w:type="dxa"/>
        <w:tblLayout w:type="fixed"/>
        <w:tblCellMar>
          <w:top w:w="28" w:type="dxa"/>
          <w:left w:w="28" w:type="dxa"/>
          <w:bottom w:w="28" w:type="dxa"/>
          <w:right w:w="28" w:type="dxa"/>
        </w:tblCellMar>
      </w:tblPr>
      <w:tblGrid>
        <w:gridCol w:w="2035"/>
        <w:gridCol w:w="1788"/>
        <w:gridCol w:w="1802"/>
        <w:gridCol w:w="197"/>
        <w:gridCol w:w="727"/>
        <w:gridCol w:w="109"/>
        <w:gridCol w:w="109"/>
        <w:gridCol w:w="109"/>
        <w:gridCol w:w="109"/>
        <w:gridCol w:w="197"/>
        <w:gridCol w:w="727"/>
        <w:gridCol w:w="155"/>
      </w:tblGrid>
      <w:tr>
        <w:trPr/>
        <w:tc>
          <w:tcPr>
            <w:tcW w:w="2035"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Less: net (loss) from discontinued operations, net of tax</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Net loss from continuing operations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(29,392)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Adjustments to reconcile net loss to net cash used in operating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5,704 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Unrealized gain on foreign currency</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(958)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Stock based compensation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Change in fair value of warrants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Change in fair value of derivative liability</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Amortization of debt discount and deferred issuance costs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1,064 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Gain on disposition of assets </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43,837 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 and prepaid expenses and other assets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(12,772)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 xml:space="preserve">Accrued expenses, other current liabilities and other liabilities </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(5,183)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Lease liabilities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(5,862)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(2,395)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provided by operating activities from continuing operations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3,273 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operating activities from discontinued operations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operating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of internal-use software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(3,974)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investing activities from continuing operations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(4,201)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provided by investing activities from discontinued operations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provided by (used in) investing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Payment for shares withheld for employee taxes </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Revolving Credit Facility</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(33,837)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on Convertible Notes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(30,900)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early termination fee for Revolving Credit Facility</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deferred issuance costs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financing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(65,828)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(1,481)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currency translation on cash and cash equivalents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(5,827)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at beginning of period</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55,774 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at end of period</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 tabular amounts and shares 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Description of the Business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BuzzFeed, Inc. (referred to herein, collectively with its subsidiaries, as “BuzzFeed” or the “Company”) is a premier digital media company for the most diverse, most online, and most socially connected generations the world has ever seen. Across entertainment, news, food, pop culture and commerce, our brands drive conversation and inspire what audiences watch, read, and buy now — and into the future. The Company’s iconic, globally-loved brands include BuzzFeed, HuffPost, Tasty, and First We Feast (including Hot Ones). BuzzFeed derives its revenue primarily from advertising, content, and commerce and other sold to leading brands. The Company has one reportable segment.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pursuant to subscription agreements entered into in connection with the consummation of the Business Combination, the Company issued, and certain investors purchased, $150.0 million aggregate principal amount of unsecured convertible notes due 2026 (the “Notes”) concurrently with the closing of the Business Combination. As a result of the sale of certain assets relating to the business of Complex Networks, as discussed within Note 19 herein (the “Disposition”), the Company repaid approximately $30.9 million of the Notes on March 7, 2024, leaving approximately $119.1 million aggregate principal amount of Notes outstanding as of March 31, 2024.</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Going Concern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 in accordance with U.S. GAAP. The presence of the following risks and uncertainties associated with the Company’s financial condition may adversely affect the Company’s ability to sustain its operations over the next 12 months beyond the issuance date.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inception, the Company has generally incurred significant losses and used net cash flows from operations to grow its owned and operated properties and its iconic brands. During the three months ended March 31, 2024, the Company incurred a net loss of $35.8 million (and a net loss of $26.6 million from continuing operations) and used net cash flows from its operations of $13.3 million (and net cash used in operating activities from continuing operations was $5.3 million). Additionally, as of March 31, 2024, the Company had unrestricted cash and cash equivalents of $44.5 million to fund its operations and an accumulated deficit of $647.5 million.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8 herein, the Company repaid approximately $30.9 million of the Notes on March 7, 2024, leaving approximately $119.1 million aggregate principal amount of Notes outstanding as of March 31, 2024. As described in Note 8 herein, each holder of a Note has the right under the indenture governing the Notes to require the Company to repurchase, for cash, all or a portion of the Notes held by such holder (i) at any time on or after December 3, 2024,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Moreover, the Company will be required to repay the Notes, in cash, at their maturity, unless earlier converted, redeemed, or repurchased. In the event some or all of the holders of the Notes exercise their call rights, the Company currently does not have sufficient cash on hand or projected cash flows to fund the potential call. The Company’s failure to comply with the provisions of the indenture governing the Notes, including the Company’s failure to repurchase the Notes, as required by the indenture, could trigger an event of default under the indenture, which would allow the holders of Notes to accelerate the maturity of the Notes and require the Company to repay the Notes prior to their maturity. In addition, on February 28, 2024, the Company amended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indenture governing the Notes to provide that, among other things, 95% of the net proceeds of future asset sales must be used to repay the Notes.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14 herein, the Company’s Class A common stock experienced a significant decline whereby the trading price remained below $1.00 per share for a sustained period during 2023. As a result, the Company received a letter from The Nasdaq Stock Market LLC (“Nasdaq”) on May 31, 2023 notifying the Company that, for the previous 30 consecutive business days, the bid price for the Company’s Class A common stock had closed below the minimum $1.00 per share requirement for continued listing on The Nasdaq Global Market (the “Bid Price Requirement”) and that the Company had until November 28, 2023 in order to regain compliance. After receiving an extension from Nasdaq on November 28, 2023, the Company now has until May 28, 2024 in order to regain compliance with Nasdaq’s Bid Price Requirement. While, as described in Notes 2 and 14 herein, the Company effected the Reverse Stock Split (as defined in Note 2 herein) on May 6, 2024, and the closing bid price for the Company’s Class A common stock has exceeded $1.00 per share since that date, the Company has not yet regained compliance with the Bid Price Requirement, as there has not been 10 business days since the effective date of the Reverse Stock Split. Further, as also described in Note 14 herein, following its 2024 annual meeting of stockholders (the “2024 Annual Meeting”), the Company is not in compliance with Nasdaq Listing Rule 5605(c)(2)(A), which requires that the audit committees of listed companies have a minimum of three members that satisfy certain criteria for service on the committee (the “Nasdaq Audit Committee Requirement”). The Company has until the earlier of its 2025 annual meeting of stockholders and April 25, 2025 to regain compliance. If the Company is not in compliance with the Nasdaq Audit Committee Requirement by that date, then the Company’s Class A common stock will be subject to delisting. If the Company is not able to regain compliance with either the Bid Price Requirement or the Nasdaq Audit Committee Requirement, and, as such, the Company’s Class A common stock is delisted from Nasdaq, the Company will be faced with a number of significant material adverse consequences, including: limited availability of market quotations for its Class A common stock; limited news and analyst coverage; decreased ability to obtain additional financing or failure to comply with the covenants required by the Notes; limited liquidity for its stockholders due to thin trading; and a potential loss of confidence by investors, employees and other third parties who do business with the Company. In particular, under the indenture governing the Notes, the failure of the Company’s Class A common stock to remain listed would constitute a fundamental change which would require the Company to offer to repurchase the remaining outstanding Notes, for cash, at a repurchase price equal to 101% of par plus accrued and unpaid interest. As of the issuance date, the Company does not have available liquidity to repurchase the Notes upon a fundamental change. The Company’s failure to repurchase the Notes as required by the indenture would constitute an event of default under the indenture.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its capital needs, the Company may explore options to restructure its outstanding debt, and is working with advisors to optimize its condensed consolidated balance sheet. However, the Company can provide no assurance that it will generate sufficient cash inflows from operations, or that it will be successful in obtaining such new financing, or in optimizing its condensed consolidated balance sheet in a manner necessary to fund its obligations as they become due over the next 12 months beyond the issuance date. Additionally, the Company may implement incremental cost savings actions and pursue additional sources of outside capital to supplement its funding obligations as they become due, which may include additional offerings of its Class A common stock under the at-the-market offering (as described in Note 9 herein). As of the issuance date, no additional sources of outside capital have been secured or were deemed probable of being secured, other than the Company’s at-the-market-offering, which is subject to the conditions contained in the At-The-Market Offering agreement dated June 20, 2023 with Craig-Hallum Capital Group LLC. The Company can provide no assurance it will successfully generate sufficient liquidity to fund its operations for the next 12 months beyond the issuance date, or if necessary, secure additional outside capital (including through the Company’s at-the-market-offering) or implement incremental cost savings.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on an ongoing basis, the Company is evaluating strategic changes to its operations, including asset divestitures, restructuring,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As of the issuance date, the Company continues to work with its external advisors to optimize its condensed consolidated balance sheet and evaluate its assets.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uncertainties raise substantial doubt about the Company’s ability to continue as a going concern. The accompanying condensed consolidated financial statements have been prepared on the basis that the Company will continue to operate as a going concern, which contemplates that it will be able to realize assets and settle liabilities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in the normal course of business for the foreseeable future. Accordingly, the accompanying condensed consolidated financial statements do not include any adjustments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Financial Statements and Principles of Consolidation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U.S. GAAP and applicable rules and regulations of the Securities and Exchange Commission regarding interim financial reporting. Certain information and note disclosures normally included in the financial statements prepared in accordance with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2023, as disclosed in the Company’s Annual Report on Form 10-K for the year ended December 31, 2023.</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2024.</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Reverse Stock Split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the 2024 Annual Meeting on April 25, 2024 and, at the 2024 Annual Meeting, the Company’s stockholders approved the grant of discretionary authority to the Company’s board of directors to (1) amend the Company’s Second Amended and Restated Certificate of Incorporation, as amended (the “Certificate of Incorporation”), to combine outstanding shares of each of the Company’s Class A common stock and the Company’s Class B common stock into a lesser number of outstanding shares of Class A common stock and Class B common stock, as the case may be, at a specific ratio within a range of one-for-two (1-for-2) to a maximum of a one-for-twenty five (1-for-25), with the exact ratio to be determined by the Company’s board of directors in its sole discretion; and (2) effect such reverse stock split, if at all, within one year of the date the proposal is approved by the Company’s stockholders (i.e., by April 25, 2025).</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subsequently approved effecting a reverse stock split, effective as of May 6, 2024, and fixed a ratio for the reverse stock split at one-for-four (1-for-4). On April 26, 2024, the Company filed an amendment to the Certificate of Incorporation with the Secretary of State of the State of Delaware (the “Certificate of Amendment”). The Certificate of Amendment effected a reverse stock split of the Class A common stock and Class B common stock at a ratio of one-for-four (1-for-4) (the “Reverse Stock Split”), effective as of 12:01 a.m., Eastern Time, on May 6, 2024. The Class A common stock began trading on a split-adjusted basis on the Nasdaq on May 6, 2024, under the existing symbol “BZFD,” but the security has a new CUSIP number of 12430A300. The Public Warrants (as defined in Note 4 herein) continued to be traded under the symbol “BZFDW” and the CUSIP identifier for Public Warrants remain unchanged.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Reverse Stock Split, every four shares of the Company’s Class A common stock and the Company’s Class B common stock issued and outstanding immediately prior to the Reverse Stock Split were converted into one share of Class A common stock and Class B common stock, after the Reverse Stock Split. The Reverse Stock Split applied uniformly to all holders of Class A common stock and Class B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up to the nearest whole share. Pursuant to the terms of the agreement governing the Public and Private Warrants, fractional shares of Class A common stock will not be issued upon exercise of a warrant, and if a holder of a warrant would be entitled to receive, upon the exercise thereof, a fractional interest in a share of Class A common stock, the Company will round down to the nearest whole number the number of shares of Class A Common Stock to be issued to such holder.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noted, all shares of Class A common stock and Class B common stock, including shares of Class A common stock underlying the Public Warrants and Private Warrants (as defined in Note 4 herein),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units, and the Notes, shares of Class A common stock available for grant under the Company’s equity incentive plans, shares of Class A common stock sold and available for sale under the Company’s at-the-market offering, and all conversion ratios, exercise prices, and per share information with respect thereto in the condensed consolidated financial statements have been retroactively adjusted to reflect the one-for-four (1-for-4) Reverse Stock Split, as if the split occurred at the beginning of the earliest period presented in this Quarterly Report on Form 10-Q.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Discontinued Operations and Held for Sale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consolidated statement of operations; and (iii) assets and liabilities are reported as held for sale in the consolidated balance sheets in the period in which the business is classified as held for sale.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concluded the assets of the Complex Networks business, excluding the First We Feast brand, met the criteria for classification for held for sale as of December 31, 2023. Additionally, the Company determined the disposal (i.e., the Disposition), which took place on February 21, 2024, represented a strategic shift that had a major effect on our operations and financial results. As such, the results of Complex Networks, excluding First We Feast, are presented as discontinued operations in the condensed consolidated financial statements of operations for all periods presented. Prior periods have been adjusted to conform to the current presentation. The assets of Complex Networks have been reflected as assets of discontinued operations in the condensed consolidated balance sheet for the year ended December 31, 2023. Refer to Note 19 herein for additional details.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Key estimates and assumptions relate primarily to revenue recognition, fair values of intangible assets acquired in business combinations, valuation allowances for deferred income tax assets, allowance for doubtful accounts, useful lives of fixed assets, and capitalized software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all cash the use of which is limited by contractual provisions as restricted cash. In the first quarter of 2024, the Company cash collateralized the $15.5 million letters of credit outstanding under the Revolving Credit Facility (as defined in Note 8 herein) in the amount of $17.1 million. As such, the $17.1 million is classified as restricted cash within the condensed consolidated balance sheet.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 emerging growth company, has elected to take advantage of the benefits of the extended transition period provided for in Section 7(a)(2)(B) of the Securities Act, as amended, for complying with new or revised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which allows the Company to defer adoption of certain accounting standards until those standards would otherwise apply to private companies.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 Not Yet Adopted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Although the ASU only requires additional disclosures about the Company’s single operating segment, the Company is currently evaluating the impact of adopting this guidance on the condensed consolidated financial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Public companies are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The Company is currently evaluating the impact of adopting this guidance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Disaggregated Revenue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revenue disaggregated based on the nature of its arrangements. Management uses these categories of revenue to evaluate the performance of its businesses and to assess its financial results and forecasts.</w:t>
      </w:r>
    </w:p>
    <w:tbl>
      <w:tblPr>
        <w:tblW w:w="4690" w:type="dxa"/>
        <w:jc w:val="left"/>
        <w:tblInd w:w="0" w:type="dxa"/>
        <w:tblLayout w:type="fixed"/>
        <w:tblCellMar>
          <w:top w:w="28" w:type="dxa"/>
          <w:left w:w="28" w:type="dxa"/>
          <w:bottom w:w="28" w:type="dxa"/>
          <w:right w:w="28" w:type="dxa"/>
        </w:tblCellMar>
      </w:tblPr>
      <w:tblGrid>
        <w:gridCol w:w="651"/>
        <w:gridCol w:w="573"/>
        <w:gridCol w:w="576"/>
        <w:gridCol w:w="211"/>
        <w:gridCol w:w="721"/>
        <w:gridCol w:w="109"/>
        <w:gridCol w:w="109"/>
        <w:gridCol w:w="109"/>
        <w:gridCol w:w="109"/>
        <w:gridCol w:w="211"/>
        <w:gridCol w:w="721"/>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geography:</w:t>
      </w:r>
    </w:p>
    <w:tbl>
      <w:tblPr>
        <w:tblW w:w="4089" w:type="dxa"/>
        <w:jc w:val="left"/>
        <w:tblInd w:w="0" w:type="dxa"/>
        <w:tblLayout w:type="fixed"/>
        <w:tblCellMar>
          <w:top w:w="28" w:type="dxa"/>
          <w:left w:w="28" w:type="dxa"/>
          <w:bottom w:w="28" w:type="dxa"/>
          <w:right w:w="28" w:type="dxa"/>
        </w:tblCellMar>
      </w:tblPr>
      <w:tblGrid>
        <w:gridCol w:w="433"/>
        <w:gridCol w:w="382"/>
        <w:gridCol w:w="384"/>
        <w:gridCol w:w="211"/>
        <w:gridCol w:w="721"/>
        <w:gridCol w:w="109"/>
        <w:gridCol w:w="109"/>
        <w:gridCol w:w="109"/>
        <w:gridCol w:w="109"/>
        <w:gridCol w:w="211"/>
        <w:gridCol w:w="721"/>
        <w:gridCol w:w="109"/>
        <w:gridCol w:w="109"/>
        <w:gridCol w:w="109"/>
        <w:gridCol w:w="109"/>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can result in billed accounts receivable, unbilled revenue (contract assets), and deferred revenues (contract liabilities). The payment terms and conditions within the Company’s contracts vary by type, but the substantial majority require that customers pay for their services on a monthly or quarterly basis, as the services are being provided. When the timing of revenue recognition differs from the timing of payments made by customers, the Company recognizes either unbilled revenue (when performance precedes the billing date) or deferred revenue (when customer payment is received in advance of performance). The Company has determined its contracts generally do not include a significant financing component.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are presented in prepaid and other current assets on the accompanying condensed consolidated balance sheets and totaled $5.4 million and $8.3 million as of March 31, 2024 and December 31, 2023, respectively. These amounts relate to revenue recognized during the respective period that is expected to be invoiced and collected in future periods.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liabilities, which are recorded in deferred revenue on the accompanying condensed consolidated balance sheets, are expected to be recognized as revenues during the succeeding 12-month period. Deferred revenue totaled $2.4 million and $1.9 million as of March 31, 2024 and December 31, 2023,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revenue recognized during the three months ended March 31, 2024 that was included in the deferred revenue balance as of December 31, 2023 was $0.5 million.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Transaction Price Allocated to Remaining Performance Obligations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Company has certain licensing contracts with minimum guarantees and terms extending beyond one year. Revenue to be recognized related to the remaining performance obligations was $2.1 million as of March 31, 2024 and is generally expected to be recognized over the next one to </w:t>
      </w:r>
      <w:r>
        <w:rPr>
          <w:rFonts w:ascii="Times New Roman;sans-serif" w:hAnsi="Times New Roman;sans-serif"/>
          <w:b w:val="false"/>
          <w:color w:val="000000"/>
          <w:sz w:val="20"/>
          <w:shd w:fill="FFFFFF" w:val="clear"/>
        </w:rPr>
        <w:t>three years</w:t>
      </w:r>
      <w:r>
        <w:rPr>
          <w:rFonts w:ascii="Times New Roman;sans-serif" w:hAnsi="Times New Roman;sans-serif"/>
          <w:b w:val="false"/>
          <w:color w:val="000000"/>
          <w:sz w:val="20"/>
        </w:rPr>
        <w:t>. This amount does not include: (i) contracts with an original expected duration of one year or less, such as advertising contracts; (ii) variable consideration in the form of sales-based royalties; or (iii) variable consideration allocated entirely to wholly unperformed performance obligations.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each contract, 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are measured at fair value on a recurring basis are summarized below:</w:t>
      </w:r>
    </w:p>
    <w:tbl>
      <w:tblPr>
        <w:tblW w:w="7004" w:type="dxa"/>
        <w:jc w:val="left"/>
        <w:tblInd w:w="0" w:type="dxa"/>
        <w:tblLayout w:type="fixed"/>
        <w:tblCellMar>
          <w:top w:w="28" w:type="dxa"/>
          <w:left w:w="28" w:type="dxa"/>
          <w:bottom w:w="28" w:type="dxa"/>
          <w:right w:w="28" w:type="dxa"/>
        </w:tblCellMar>
      </w:tblPr>
      <w:tblGrid>
        <w:gridCol w:w="883"/>
        <w:gridCol w:w="777"/>
        <w:gridCol w:w="784"/>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tbl>
      <w:tblPr>
        <w:tblW w:w="7004" w:type="dxa"/>
        <w:jc w:val="left"/>
        <w:tblInd w:w="0" w:type="dxa"/>
        <w:tblLayout w:type="fixed"/>
        <w:tblCellMar>
          <w:top w:w="28" w:type="dxa"/>
          <w:left w:w="28" w:type="dxa"/>
          <w:bottom w:w="28" w:type="dxa"/>
          <w:right w:w="28" w:type="dxa"/>
        </w:tblCellMar>
      </w:tblPr>
      <w:tblGrid>
        <w:gridCol w:w="883"/>
        <w:gridCol w:w="777"/>
        <w:gridCol w:w="784"/>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money market funds are measured at amortized cost, which approximates fair value.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warrant liability as of March 31, 2024 and December 31, 2023 includes public and private warrants that were originally issued by 890, but which were assumed by the Company as part of the closing of the Business Combination (the “Public Warrants” and “Private Warrants,” respectively), which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$0.18 and $0.16 as of March 31, 2024 and December 31, 2023, respectively.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As of December 31, 2023, the Company determined the fair value of the derivative liability was immaterial as (i) the closing share price of our Class A common stock was $1.00 as of December 29, 2023, and (ii) each holder of a Note will have the right to require the Company to repurchase, for cash, all or a portion of the Notes held by such holder at any time on or after December 3, 2024 (see Note 8 herein for additional details). The fair value of the embedded derivative continues to be immaterial as of March 31, 2024.</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fair value measurement levels during the three months ended March 31, 2024.</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Equity Investment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equity investments in entities over which the Company does not exercise significant influence,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the Company had an investment in equity securities of a privately-held company without a readily determinable fair value. The total carrying value of the investment, included in prepaid and other assets on the condensed consolidated balance sheets, was $0.8 million as of both March 31, 2024 and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Property and Equipment,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5862" w:type="dxa"/>
        <w:jc w:val="left"/>
        <w:tblInd w:w="0" w:type="dxa"/>
        <w:tblLayout w:type="fixed"/>
        <w:tblCellMar>
          <w:top w:w="28" w:type="dxa"/>
          <w:left w:w="28" w:type="dxa"/>
          <w:bottom w:w="28" w:type="dxa"/>
          <w:right w:w="28" w:type="dxa"/>
        </w:tblCellMar>
      </w:tblPr>
      <w:tblGrid>
        <w:gridCol w:w="989"/>
        <w:gridCol w:w="869"/>
        <w:gridCol w:w="872"/>
        <w:gridCol w:w="255"/>
        <w:gridCol w:w="873"/>
        <w:gridCol w:w="132"/>
        <w:gridCol w:w="109"/>
        <w:gridCol w:w="109"/>
        <w:gridCol w:w="109"/>
        <w:gridCol w:w="300"/>
        <w:gridCol w:w="1026"/>
        <w:gridCol w:w="219"/>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totaled $1.5 million and $1.7 million for the three months ended March 31, 2024 and 2023,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Capitalized Software Costs,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net consisted of the following:</w:t>
      </w:r>
    </w:p>
    <w:tbl>
      <w:tblPr>
        <w:tblW w:w="5982" w:type="dxa"/>
        <w:jc w:val="left"/>
        <w:tblInd w:w="0" w:type="dxa"/>
        <w:tblLayout w:type="fixed"/>
        <w:tblCellMar>
          <w:top w:w="28" w:type="dxa"/>
          <w:left w:w="28" w:type="dxa"/>
          <w:bottom w:w="28" w:type="dxa"/>
          <w:right w:w="28" w:type="dxa"/>
        </w:tblCellMar>
      </w:tblPr>
      <w:tblGrid>
        <w:gridCol w:w="1031"/>
        <w:gridCol w:w="907"/>
        <w:gridCol w:w="912"/>
        <w:gridCol w:w="255"/>
        <w:gridCol w:w="873"/>
        <w:gridCol w:w="132"/>
        <w:gridCol w:w="109"/>
        <w:gridCol w:w="109"/>
        <w:gridCol w:w="109"/>
        <w:gridCol w:w="300"/>
        <w:gridCol w:w="1026"/>
        <w:gridCol w:w="219"/>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Website and internal-use software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84,111 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capitalized $3.3 million and $4.0 million for the three months ended March 31, 2024 and 2023, respectively, included in capitalized software costs. The Company amortized $3.5 million and $2.9 million for the three months ended March 31, 2024 and 2023,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Intangible Assets,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intangible assets for the periods presented and the weighted average remaining useful lives:</w:t>
      </w:r>
    </w:p>
    <w:tbl>
      <w:tblPr>
        <w:tblW w:w="11108" w:type="dxa"/>
        <w:jc w:val="left"/>
        <w:tblInd w:w="0" w:type="dxa"/>
        <w:tblLayout w:type="fixed"/>
        <w:tblCellMar>
          <w:top w:w="28" w:type="dxa"/>
          <w:left w:w="28" w:type="dxa"/>
          <w:bottom w:w="28" w:type="dxa"/>
          <w:right w:w="28" w:type="dxa"/>
        </w:tblCellMar>
      </w:tblPr>
      <w:tblGrid>
        <w:gridCol w:w="423"/>
        <w:gridCol w:w="306"/>
        <w:gridCol w:w="307"/>
        <w:gridCol w:w="295"/>
        <w:gridCol w:w="295"/>
        <w:gridCol w:w="296"/>
        <w:gridCol w:w="109"/>
        <w:gridCol w:w="109"/>
        <w:gridCol w:w="109"/>
        <w:gridCol w:w="196"/>
        <w:gridCol w:w="646"/>
        <w:gridCol w:w="109"/>
        <w:gridCol w:w="109"/>
        <w:gridCol w:w="109"/>
        <w:gridCol w:w="109"/>
        <w:gridCol w:w="222"/>
        <w:gridCol w:w="734"/>
        <w:gridCol w:w="125"/>
        <w:gridCol w:w="109"/>
        <w:gridCol w:w="109"/>
        <w:gridCol w:w="109"/>
        <w:gridCol w:w="196"/>
        <w:gridCol w:w="646"/>
        <w:gridCol w:w="109"/>
        <w:gridCol w:w="109"/>
        <w:gridCol w:w="109"/>
        <w:gridCol w:w="109"/>
        <w:gridCol w:w="295"/>
        <w:gridCol w:w="295"/>
        <w:gridCol w:w="296"/>
        <w:gridCol w:w="109"/>
        <w:gridCol w:w="109"/>
        <w:gridCol w:w="109"/>
        <w:gridCol w:w="196"/>
        <w:gridCol w:w="646"/>
        <w:gridCol w:w="109"/>
        <w:gridCol w:w="109"/>
        <w:gridCol w:w="109"/>
        <w:gridCol w:w="109"/>
        <w:gridCol w:w="222"/>
        <w:gridCol w:w="734"/>
        <w:gridCol w:w="125"/>
        <w:gridCol w:w="109"/>
        <w:gridCol w:w="109"/>
        <w:gridCol w:w="109"/>
        <w:gridCol w:w="196"/>
        <w:gridCol w:w="64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 xml:space="preserve">Average </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Technology</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Trademarks and Trade Names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Trademarks and Trade Names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intangible assets, the Company amortized $0.9 million and $1.1 million for the three months ended March 31, 2024 and 2023, respectively, included in depreciation and amortization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Estimated future amortization expense as of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is as follows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Impairment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annually as of October 1 and more frequently if events or changes in circumstances indicate an impairment may exist (a “triggering event”). As of March 31, 2024, the Company had $57.6 million of goodwill recorded on its condensed consolidated balance sheet. The Company concluded there were no impairment triggering events as of, and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Revolving Credit Facility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2020, the Company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the Company’s landlords. The Company had outstanding letters of credit of $15.5 million under the Revolving Credit Facility at both March 31, 2024 and December 31, 2023.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2024, in connection with the Disposition discussed within Note 19 herein, the Company terminated the Revolving Credit Facility, except for the $15.5 million in letters of credit outstanding, which were cash collateralized in the amount of $17.1 million and resulted in restricted cash classification on the condensed consolidated balance sheet. The letters of credit bear interest at a rate equal to the Secured Financing Overnight Rate (SOFR) Index, plus a margin of 3.75% on the undrawn amount of letters of credit (the implied interest rate was 9% as of March 31, 2024).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Convertible Notes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The Notes are convertible into shares of our Class A common stock at a conversion price of approximately $50.00 and bear interest at a rate of 8.50% per annum, payable semi-annually. The Notes mature on December 3, 2026. As of March 31, 2024, the Notes were convertible into approximately 2,382,007 shares of our Class A common stock.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its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prior to December 3, 2024, the Company will be obligated to pay an amount in cash equal to 12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a Note has the right under the indenture governing the Notes to require the Company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In addition, a failure to comply with the provisions of the indenture governing our Notes could trigger an event of default under the indenture, which would allow the holders of Notes to accelerate the maturity of the Notes and require the Company to repay the Notes prior to their maturity. Moreover, the Company will be required to repay the Notes, in cash, at their maturity, unless earlier converted, redeemed, or repurchased.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governing the Notes includes restrictive covenants that, among other things, limit the Company’s ability to incur additional debt or liens, make restricted payments or investments, dispose of significant assets, transfer specified intellectual property, or enter into transactions with affiliates. Additionally, on February 28, 2024, in connection with the Disposition, the indenture governing the Notes was amended to, among other things, provide that 95% of the net proceeds of future asset sales must be used to repay the Notes.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2024, in connection with the Disposition, the Company repaid approximately $30.9 million of the Notes, leaving approximately $119.1 million aggregate principal amount of Notes outstanding as of March 31, 2024. In connection with the repayment, the Company determined the modified debt terms were not substantially different from the original terms and applied modification accounting. The Company derecognized approximately 20.6% of the unamortized debt discount and issuance costs, which resulted in an approximately $4.9 million loss on partial debt extinguishment that was attributed to the discontinued operation.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condensed consolidated statements of operations. As of December 31, 2023, the Company determined the fair value of the derivative liability was immaterial as (i) the closing share price of our Class A common stock was $1.00 as of December 29, 2023, and (ii) each holder of a Note has the right to require the Company to repurchase, for cash, all or a portion of the Notes held by such holder at any time on or after December 3, 2024 (i.e., the third anniversary of the issuance of the Notes), at a repurchase price equal the principal amount plus accrued and unpaid interest. The fair value of the embedded derivative continues to be immaterial as of March 31, 2024.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Interest expense on the Notes is recognized at an effective interest rate of 16% and totaled </w:t>
      </w:r>
      <w:r>
        <w:rPr>
          <w:rFonts w:ascii="Times New Roman;sans-serif" w:hAnsi="Times New Roman;sans-serif"/>
          <w:b w:val="false"/>
          <w:color w:val="000000"/>
          <w:sz w:val="20"/>
        </w:rPr>
        <w:t>$3.6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$3.6 million for the three months ended March 31, 2024 and 2023, respectively, of which amortization of the debt discount and issuance costs comprised $1.2 million and $1.1 million </w:t>
      </w:r>
      <w:r>
        <w:rPr>
          <w:rFonts w:ascii="Times New Roman;sans-serif" w:hAnsi="Times New Roman;sans-serif"/>
          <w:b w:val="false"/>
          <w:color w:val="000000"/>
          <w:sz w:val="20"/>
          <w:shd w:fill="FFFFFF" w:val="clear"/>
        </w:rPr>
        <w:t>for the three months ended March 31, 2024 and 2023, respectively. The effective interest rate of 16% was remeasured in connection with the aforementioned modification accounting and assumes a maturity date of December 3, 2026.</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Notes as of March 31, 2024 and December 31, 2023 was:</w:t>
      </w:r>
    </w:p>
    <w:tbl>
      <w:tblPr>
        <w:tblW w:w="6984" w:type="dxa"/>
        <w:jc w:val="left"/>
        <w:tblInd w:w="0" w:type="dxa"/>
        <w:tblLayout w:type="fixed"/>
        <w:tblCellMar>
          <w:top w:w="28" w:type="dxa"/>
          <w:left w:w="28" w:type="dxa"/>
          <w:bottom w:w="28" w:type="dxa"/>
          <w:right w:w="28" w:type="dxa"/>
        </w:tblCellMar>
      </w:tblPr>
      <w:tblGrid>
        <w:gridCol w:w="1396"/>
        <w:gridCol w:w="1227"/>
        <w:gridCol w:w="1231"/>
        <w:gridCol w:w="232"/>
        <w:gridCol w:w="908"/>
        <w:gridCol w:w="119"/>
        <w:gridCol w:w="109"/>
        <w:gridCol w:w="109"/>
        <w:gridCol w:w="109"/>
        <w:gridCol w:w="273"/>
        <w:gridCol w:w="1072"/>
        <w:gridCol w:w="199"/>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issuance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Notes was approximately $93.1 million and $112.8 million as of March 31, 2024 and December 31, 2023, respectively. The fair value of the Notes was estimated using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Stockholders’ Equity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50,000,000 shares of preferred stock, par value $0.0001 per share. The Company’s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March 31, 2024 or December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Stock-Based Compensation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stock option activity under the Company’s equity incentive plans is presented below:</w:t>
      </w:r>
    </w:p>
    <w:tbl>
      <w:tblPr>
        <w:tblW w:w="7646" w:type="dxa"/>
        <w:jc w:val="left"/>
        <w:tblInd w:w="0" w:type="dxa"/>
        <w:tblLayout w:type="fixed"/>
        <w:tblCellMar>
          <w:top w:w="28" w:type="dxa"/>
          <w:left w:w="28" w:type="dxa"/>
          <w:bottom w:w="28" w:type="dxa"/>
          <w:right w:w="28" w:type="dxa"/>
        </w:tblCellMar>
      </w:tblPr>
      <w:tblGrid>
        <w:gridCol w:w="1086"/>
        <w:gridCol w:w="953"/>
        <w:gridCol w:w="960"/>
        <w:gridCol w:w="294"/>
        <w:gridCol w:w="294"/>
        <w:gridCol w:w="296"/>
        <w:gridCol w:w="109"/>
        <w:gridCol w:w="109"/>
        <w:gridCol w:w="109"/>
        <w:gridCol w:w="211"/>
        <w:gridCol w:w="616"/>
        <w:gridCol w:w="109"/>
        <w:gridCol w:w="109"/>
        <w:gridCol w:w="109"/>
        <w:gridCol w:w="109"/>
        <w:gridCol w:w="295"/>
        <w:gridCol w:w="295"/>
        <w:gridCol w:w="296"/>
        <w:gridCol w:w="109"/>
        <w:gridCol w:w="109"/>
        <w:gridCol w:w="109"/>
        <w:gridCol w:w="262"/>
        <w:gridCol w:w="505"/>
        <w:gridCol w:w="193"/>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w:t>
              <w:br/>
              <w:t>Value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at March 31, 2024</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2024</w:t>
            </w:r>
          </w:p>
        </w:tc>
        <w:tc>
          <w:tcPr>
            <w:tcW w:w="8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As of March 31, 2024, the total share-based compensation costs not yet recognized related to unvested stock options was </w:t>
      </w:r>
      <w:r>
        <w:rPr>
          <w:rFonts w:ascii="Times New Roman;sans-serif" w:hAnsi="Times New Roman;sans-serif"/>
          <w:b w:val="false"/>
          <w:color w:val="000000"/>
          <w:sz w:val="20"/>
          <w:shd w:fill="FFFFFF" w:val="clear"/>
        </w:rPr>
        <w:t>$0.4 million</w:t>
      </w:r>
      <w:r>
        <w:rPr>
          <w:rFonts w:ascii="Times New Roman;sans-serif" w:hAnsi="Times New Roman;sans-serif"/>
          <w:b w:val="false"/>
          <w:color w:val="000000"/>
          <w:sz w:val="20"/>
        </w:rPr>
        <w:t>, which is expected to be recognized over the weighted-average remaining requisite service period of 0.9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unit (“RSU”) activity is presented below:</w:t>
      </w:r>
    </w:p>
    <w:tbl>
      <w:tblPr>
        <w:tblW w:w="6209" w:type="dxa"/>
        <w:jc w:val="left"/>
        <w:tblInd w:w="0" w:type="dxa"/>
        <w:tblLayout w:type="fixed"/>
        <w:tblCellMar>
          <w:top w:w="28" w:type="dxa"/>
          <w:left w:w="28" w:type="dxa"/>
          <w:bottom w:w="28" w:type="dxa"/>
          <w:right w:w="28" w:type="dxa"/>
        </w:tblCellMar>
      </w:tblPr>
      <w:tblGrid>
        <w:gridCol w:w="1147"/>
        <w:gridCol w:w="1006"/>
        <w:gridCol w:w="1012"/>
        <w:gridCol w:w="233"/>
        <w:gridCol w:w="233"/>
        <w:gridCol w:w="196"/>
        <w:gridCol w:w="109"/>
        <w:gridCol w:w="109"/>
        <w:gridCol w:w="109"/>
        <w:gridCol w:w="495"/>
        <w:gridCol w:w="1199"/>
        <w:gridCol w:w="361"/>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w:t>
              <w:br/>
              <w: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6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As of March 31, 2024, there were approximately </w:t>
      </w:r>
      <w:r>
        <w:rPr>
          <w:rFonts w:ascii="Times New Roman;sans-serif" w:hAnsi="Times New Roman;sans-serif"/>
          <w:b w:val="false"/>
          <w:color w:val="000000"/>
          <w:sz w:val="20"/>
          <w:shd w:fill="FFFFFF" w:val="clear"/>
        </w:rPr>
        <w:t>$4.2 million</w:t>
      </w:r>
      <w:r>
        <w:rPr>
          <w:color w:val="000000"/>
        </w:rPr>
        <w:t xml:space="preserve"> </w:t>
      </w:r>
      <w:r>
        <w:rPr>
          <w:rFonts w:ascii="Times New Roman;sans-serif" w:hAnsi="Times New Roman;sans-serif"/>
          <w:b w:val="false"/>
          <w:color w:val="000000"/>
          <w:sz w:val="20"/>
        </w:rPr>
        <w:t xml:space="preserve">of unrecognized compensation costs related to RSUs.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cost included in the condensed consolidated statements of operations:</w:t>
      </w:r>
    </w:p>
    <w:tbl>
      <w:tblPr>
        <w:tblW w:w="7676" w:type="dxa"/>
        <w:jc w:val="left"/>
        <w:tblInd w:w="0" w:type="dxa"/>
        <w:tblLayout w:type="fixed"/>
        <w:tblCellMar>
          <w:top w:w="28" w:type="dxa"/>
          <w:left w:w="28" w:type="dxa"/>
          <w:bottom w:w="28" w:type="dxa"/>
          <w:right w:w="28" w:type="dxa"/>
        </w:tblCellMar>
      </w:tblPr>
      <w:tblGrid>
        <w:gridCol w:w="1740"/>
        <w:gridCol w:w="1528"/>
        <w:gridCol w:w="1532"/>
        <w:gridCol w:w="266"/>
        <w:gridCol w:w="589"/>
        <w:gridCol w:w="137"/>
        <w:gridCol w:w="137"/>
        <w:gridCol w:w="137"/>
        <w:gridCol w:w="137"/>
        <w:gridCol w:w="266"/>
        <w:gridCol w:w="589"/>
        <w:gridCol w:w="137"/>
        <w:gridCol w:w="109"/>
        <w:gridCol w:w="109"/>
        <w:gridCol w:w="109"/>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negative stock-based compensation expense for the three months ended March 31, 2023 for Research and development was due to forfeitures.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At-The-Market Offering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21, 2023, the Company filed a shelf registration statement on Form S-3 (the “Shelf Registration Statement”) under which the Company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may, from time to time, sell up to 3,316,503 shares of its Class A common stock. As of March 31, 2024, the Company had sold, in the aggregate, 517,385 shares of its Class A common stock, at an average price of $2.08 per share, for aggregate net proceeds of $0.9 million after deducting commissions and offering expenses. The Company used the aggregate net proceeds for general corporate purposes, and the Company has 2,799,118 remaining shares available under the At-The-Market-Offering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Net Loss Per Share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loss per share is computed using the two-class method. Basic net loss per share is computed using the weighted average number of shares of common stock outstanding for the period. Diluted net loss per share reflects the effect of the assumed exercise of any stock options, the vesting of any restricted stock units, the exercise of any warrants (including the Public Warrants and the Private Warrants), the conversion of any convertible debt (including the Notes), and the conversion of any convertible preferred stock, in each case only in the periods in which such effect would have been dilutive.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net loss per share amounts were the same for Class A and Class B common stock because the holders of each class are entitled to equal per share dividends. There were no shares of Class C common stock outstanding for either period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2607"/>
        <w:gridCol w:w="2277"/>
        <w:gridCol w:w="2287"/>
        <w:gridCol w:w="211"/>
        <w:gridCol w:w="792"/>
        <w:gridCol w:w="109"/>
        <w:gridCol w:w="109"/>
        <w:gridCol w:w="109"/>
        <w:gridCol w:w="109"/>
        <w:gridCol w:w="211"/>
        <w:gridCol w:w="792"/>
        <w:gridCol w:w="109"/>
        <w:gridCol w:w="109"/>
        <w:gridCol w:w="109"/>
        <w:gridCol w:w="109"/>
        <w:gridCol w:w="156"/>
      </w:tblGrid>
      <w:tr>
        <w:trPr/>
        <w:tc>
          <w:tcPr>
            <w:tcW w:w="2607"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 net of tax</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holders of Class A and Class B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Amounts attributable to BuzzFeed, Inc. for net loss per common share, basic and diluted:</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 net of tax</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BuzzFeed,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common share, basic and diluted:</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Net loss per common share, basic and diluted, attributable to BuzzFeed, Inc.</w:t>
            </w:r>
            <w:r>
              <w:rPr>
                <w:rFonts w:ascii="Times New Roman;sans-serif" w:hAnsi="Times New Roman;sans-serif"/>
                <w:b w:val="false"/>
                <w:color w:val="000000"/>
                <w:sz w:val="13"/>
              </w:rPr>
              <w:t>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(1)Net loss per share information is presented on a rounded basis using actual amounts. Minor differences in totals may exist due to rounding.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numerator for net loss per basic and diluted common share from continuing operations excludes the impact of net loss attributable to the noncontrolling interests for all periods presented.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details of securities that were excluded from the calculation of diluted loss per share as the effect would have been anti-dilutive: </w:t>
      </w:r>
    </w:p>
    <w:tbl>
      <w:tblPr>
        <w:tblW w:w="4750" w:type="dxa"/>
        <w:jc w:val="left"/>
        <w:tblInd w:w="0" w:type="dxa"/>
        <w:tblLayout w:type="fixed"/>
        <w:tblCellMar>
          <w:top w:w="28" w:type="dxa"/>
          <w:left w:w="28" w:type="dxa"/>
          <w:bottom w:w="28" w:type="dxa"/>
          <w:right w:w="28" w:type="dxa"/>
        </w:tblCellMar>
      </w:tblPr>
      <w:tblGrid>
        <w:gridCol w:w="678"/>
        <w:gridCol w:w="596"/>
        <w:gridCol w:w="601"/>
        <w:gridCol w:w="266"/>
        <w:gridCol w:w="266"/>
        <w:gridCol w:w="266"/>
        <w:gridCol w:w="266"/>
        <w:gridCol w:w="266"/>
        <w:gridCol w:w="266"/>
        <w:gridCol w:w="266"/>
        <w:gridCol w:w="266"/>
        <w:gridCol w:w="266"/>
        <w:gridCol w:w="109"/>
        <w:gridCol w:w="109"/>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notes </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11. Income Taxes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tbl>
      <w:tblPr>
        <w:tblW w:w="4766" w:type="dxa"/>
        <w:jc w:val="left"/>
        <w:tblInd w:w="0" w:type="dxa"/>
        <w:tblLayout w:type="fixed"/>
        <w:tblCellMar>
          <w:top w:w="28" w:type="dxa"/>
          <w:left w:w="28" w:type="dxa"/>
          <w:bottom w:w="28" w:type="dxa"/>
          <w:right w:w="28" w:type="dxa"/>
        </w:tblCellMar>
      </w:tblPr>
      <w:tblGrid>
        <w:gridCol w:w="684"/>
        <w:gridCol w:w="602"/>
        <w:gridCol w:w="604"/>
        <w:gridCol w:w="227"/>
        <w:gridCol w:w="503"/>
        <w:gridCol w:w="292"/>
        <w:gridCol w:w="117"/>
        <w:gridCol w:w="117"/>
        <w:gridCol w:w="117"/>
        <w:gridCol w:w="227"/>
        <w:gridCol w:w="503"/>
        <w:gridCol w:w="292"/>
        <w:gridCol w:w="109"/>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the Company’s effective tax rate on continuing operations differed from the U.S. federal statutory income tax rate of 21% primarily due to (i) limited tax benefits provided for against its current year pre-tax operating loss, as the Company maintains a full valuation allowance against its U.S. deferred tax assets that are not realizable on a more-likely-than-not basis, and (ii) permanent adjustments and state taxes related to the Disposition.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Restructuring Costs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In February 2024, the Company announced plans to reduce expenses by implementing an approximately 16% reduction in the then-current workforce (after the Disposition as discussed within Note 19 herein). In doing so, the Company reduced the size of its centralized operations to enable its individual brands to operate with more autonomy and deliver against their differentiated value propositions for advertisers. The reduction in workforce plan is intended to position the Company to be more agile, sustainable, and profitable. The Company incurred approximately $2.9 million of restructuring costs for the three months ended March 31, 2024, comprised mainly of severance and related benefits costs, of which $1.2 million were included in cost of revenue, excluding depreciation and amortization, $1.5 million were included in sales and marketing, and $0.2 million</w:t>
      </w:r>
      <w:r>
        <w:rPr>
          <w:color w:val="000000"/>
        </w:rPr>
        <w:t xml:space="preserve"> </w:t>
      </w:r>
      <w:r>
        <w:rPr>
          <w:rFonts w:ascii="Times New Roman;sans-serif" w:hAnsi="Times New Roman;sans-serif"/>
          <w:b w:val="false"/>
          <w:color w:val="000000"/>
          <w:sz w:val="20"/>
        </w:rPr>
        <w:t xml:space="preserve">were included in general and administrative. As of March 31, 2024, $1.9 million remain unpaid and were included in accrued compensation on the condensed consolidated balance sheet. These costs are primarily expected to be paid in the second quarter of 2024.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accordance with the Asset Purchase Agreement (the “Complex Sale Agreement”), dated as of February 21, 2024 between a wholly-owned subsidiary of the Company and Commerce Media Holdings, LLC., pursuant to which the Disposition was consummated, Commerce Media reimbursed the Company for approximately $1.8 million in payments related to “Non-Transferring Employees” (as defined in the Complex Sale Agreement), including severance. The amount of these severance and related charges are not included within the restructuring charges noted above. The Company treated the reimbursement as an expense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Company leases office space under non-cancelable operating leases with various expiration dates through 2029. The Company accounts for leases under Accounting Standards Update 2016-02,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subleases certain leased office space to third parties when it determines there is excess leased capacity. On July 8, 2022, the Company entered into a sublease with a third party with respect to substantially all of the Company’s then-existing corporate headquarters. The sublease commenced on August 26, 2022 and expires on May 30, 2026, unless terminated sooner in accordance with the provisions of the sublease. Pursuant to the terms of the sublease, the subtenant pays a fixed monthly rent of $0.8 million, subject to periodic increases. In-lieu of a cash security deposit, the Company received a letter of credit from Citibank for approximately $4.5 million. On February 21, 2024,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the Disposition, the Company licensed the use of office space in our corporate headquarters. Refer to Note 19 herein for further details on this arrangement.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illustrates the lease costs for the three months ended March 31, 2024 and 2023:</w:t>
      </w:r>
    </w:p>
    <w:tbl>
      <w:tblPr>
        <w:tblW w:w="4853" w:type="dxa"/>
        <w:jc w:val="left"/>
        <w:tblInd w:w="0" w:type="dxa"/>
        <w:tblLayout w:type="fixed"/>
        <w:tblCellMar>
          <w:top w:w="28" w:type="dxa"/>
          <w:left w:w="28" w:type="dxa"/>
          <w:bottom w:w="28" w:type="dxa"/>
          <w:right w:w="28" w:type="dxa"/>
        </w:tblCellMar>
      </w:tblPr>
      <w:tblGrid>
        <w:gridCol w:w="635"/>
        <w:gridCol w:w="558"/>
        <w:gridCol w:w="562"/>
        <w:gridCol w:w="109"/>
        <w:gridCol w:w="109"/>
        <w:gridCol w:w="230"/>
        <w:gridCol w:w="672"/>
        <w:gridCol w:w="119"/>
        <w:gridCol w:w="119"/>
        <w:gridCol w:w="119"/>
        <w:gridCol w:w="119"/>
        <w:gridCol w:w="230"/>
        <w:gridCol w:w="672"/>
        <w:gridCol w:w="119"/>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components of total lease cost are recorded within general and administrative expenses within the condensed consolidated statement of operations. The Company does not have material short-term or variable lease costs.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amounts were recorded in the Company’s condensed consolidated balance sheets related to operating leases:</w:t>
      </w:r>
    </w:p>
    <w:tbl>
      <w:tblPr>
        <w:tblW w:w="5442" w:type="dxa"/>
        <w:jc w:val="left"/>
        <w:tblInd w:w="0" w:type="dxa"/>
        <w:tblLayout w:type="fixed"/>
        <w:tblCellMar>
          <w:top w:w="28" w:type="dxa"/>
          <w:left w:w="28" w:type="dxa"/>
          <w:bottom w:w="28" w:type="dxa"/>
          <w:right w:w="28" w:type="dxa"/>
        </w:tblCellMar>
      </w:tblPr>
      <w:tblGrid>
        <w:gridCol w:w="835"/>
        <w:gridCol w:w="735"/>
        <w:gridCol w:w="740"/>
        <w:gridCol w:w="255"/>
        <w:gridCol w:w="873"/>
        <w:gridCol w:w="132"/>
        <w:gridCol w:w="109"/>
        <w:gridCol w:w="109"/>
        <w:gridCol w:w="109"/>
        <w:gridCol w:w="300"/>
        <w:gridCol w:w="1026"/>
        <w:gridCol w:w="219"/>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5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9144" w:type="dxa"/>
        <w:jc w:val="left"/>
        <w:tblInd w:w="0" w:type="dxa"/>
        <w:tblLayout w:type="fixed"/>
        <w:tblCellMar>
          <w:top w:w="28" w:type="dxa"/>
          <w:left w:w="28" w:type="dxa"/>
          <w:bottom w:w="28" w:type="dxa"/>
          <w:right w:w="28" w:type="dxa"/>
        </w:tblCellMar>
      </w:tblPr>
      <w:tblGrid>
        <w:gridCol w:w="2015"/>
        <w:gridCol w:w="1770"/>
        <w:gridCol w:w="1779"/>
        <w:gridCol w:w="534"/>
        <w:gridCol w:w="534"/>
        <w:gridCol w:w="536"/>
        <w:gridCol w:w="109"/>
        <w:gridCol w:w="109"/>
        <w:gridCol w:w="109"/>
        <w:gridCol w:w="482"/>
        <w:gridCol w:w="482"/>
        <w:gridCol w:w="685"/>
      </w:tblGrid>
      <w:tr>
        <w:trPr/>
        <w:tc>
          <w:tcPr>
            <w:tcW w:w="201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measurement of lease liabilities: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 liabilities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089" w:type="dxa"/>
        <w:jc w:val="left"/>
        <w:tblInd w:w="0" w:type="dxa"/>
        <w:tblLayout w:type="fixed"/>
        <w:tblCellMar>
          <w:top w:w="28" w:type="dxa"/>
          <w:left w:w="28" w:type="dxa"/>
          <w:bottom w:w="28" w:type="dxa"/>
          <w:right w:w="28" w:type="dxa"/>
        </w:tblCellMar>
      </w:tblPr>
      <w:tblGrid>
        <w:gridCol w:w="1410"/>
        <w:gridCol w:w="1241"/>
        <w:gridCol w:w="1249"/>
        <w:gridCol w:w="308"/>
        <w:gridCol w:w="308"/>
        <w:gridCol w:w="701"/>
        <w:gridCol w:w="109"/>
        <w:gridCol w:w="109"/>
        <w:gridCol w:w="109"/>
        <w:gridCol w:w="314"/>
        <w:gridCol w:w="314"/>
        <w:gridCol w:w="917"/>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March 31, 2024 were as follows:</w:t>
      </w:r>
    </w:p>
    <w:tbl>
      <w:tblPr>
        <w:tblW w:w="3641" w:type="dxa"/>
        <w:jc w:val="left"/>
        <w:tblInd w:w="0" w:type="dxa"/>
        <w:tblLayout w:type="fixed"/>
        <w:tblCellMar>
          <w:top w:w="28" w:type="dxa"/>
          <w:left w:w="28" w:type="dxa"/>
          <w:bottom w:w="28" w:type="dxa"/>
          <w:right w:w="28" w:type="dxa"/>
        </w:tblCellMar>
      </w:tblPr>
      <w:tblGrid>
        <w:gridCol w:w="687"/>
        <w:gridCol w:w="604"/>
        <w:gridCol w:w="613"/>
        <w:gridCol w:w="109"/>
        <w:gridCol w:w="109"/>
        <w:gridCol w:w="109"/>
        <w:gridCol w:w="274"/>
        <w:gridCol w:w="936"/>
        <w:gridCol w:w="200"/>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54,334 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Sublease receipts to be received in the future under noncancelable subleases as of March 31, 2024 were as follows:</w:t>
      </w:r>
    </w:p>
    <w:tbl>
      <w:tblPr>
        <w:tblW w:w="3093" w:type="dxa"/>
        <w:jc w:val="left"/>
        <w:tblInd w:w="0" w:type="dxa"/>
        <w:tblLayout w:type="fixed"/>
        <w:tblCellMar>
          <w:top w:w="28" w:type="dxa"/>
          <w:left w:w="28" w:type="dxa"/>
          <w:bottom w:w="28" w:type="dxa"/>
          <w:right w:w="28" w:type="dxa"/>
        </w:tblCellMar>
      </w:tblPr>
      <w:tblGrid>
        <w:gridCol w:w="606"/>
        <w:gridCol w:w="533"/>
        <w:gridCol w:w="541"/>
        <w:gridCol w:w="109"/>
        <w:gridCol w:w="109"/>
        <w:gridCol w:w="109"/>
        <w:gridCol w:w="211"/>
        <w:gridCol w:w="721"/>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Guarantees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settled or resolved certain legal matters during the three months ended March 31, 2024 and 2023 that did not individually or in the aggregate have a material impact on the Company’s business or its condensed consolidated financial position, results of operations, or cash flows.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Video Privacy Protection Act: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a lawsuit titled Hunthausen v. BuzzFeed, Inc. was filed against the Company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The matter was settled on January 4, 2024 and is now disposed.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2023, the Company received 8,927 individual demands for JAMS arbitration in California, all of which allege that the Company violated the VPPA by transmitting personally identifying information via the Meta pixel, purportedly connected to posts on the BuzzFeed website. Each claimant was seeking to recover damages in the amount of $2,500 (actual dollars) for each alleged violation of the VPPA. The Company provisionally settled these claims on January 29, 2024.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15, 2023, the Company received (1) 5,247 individual demands for JAMS arbitration in California, all of which allege that the Company violated the VPPA by transmitting personally identifying information via the use of various pixels purportedly in connection with the HuffPost.com website; and (2) 12,176 individual demands for JAMS arbitration in California, all of which allege that the Company violated the VPPA by transmitting personal identifying information via the use of various pixels purportedly in connection with the BuzzFeed.com website. Each claimant was seeking to recover damages in the amount of $2,500 (actual dollars) for each alleged violation of the VPPA, as well as punitive damages, attorneys’ fees and costs, and equitable relief. The Company provisionally settled these claims on January 16, 2024.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2023, we received 590 individual demands for JAMS arbitration in California, all of which allege that we violated the VPPA by transmitting personally identifying information via the use of various pixels purportedly in connection with the BuzzFeed.com website. Each claimant was seeking to recover damages in the amount of $2,500 (actual dollars) for each alleged violation of the VPPA. The Company provisionally settled these claims on January 29,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Mass Arbitrations: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Two mass arbitrations (the “Arbitrations”) were initiated before the American Arbitration Association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 The parties cross-moved for summary judgment.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20, 2023, the Court of Chancery heard oral arguments on the Company’s motion for summary judgment and the Claimants’ cross-motion to dismiss the Company’s complaint. The arbitrations are stayed until the Court resolves the motions on the merits. The decision of the Court is pending.</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California Invasion of Privacy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On April 11, 2024, a lawsuit titled Chih-Yuan Chang </w:t>
      </w:r>
      <w:r>
        <w:rPr>
          <w:rFonts w:ascii="Times New Roman;sans-serif" w:hAnsi="Times New Roman;sans-serif"/>
          <w:b w:val="false"/>
          <w:i/>
          <w:color w:val="000000"/>
          <w:sz w:val="20"/>
        </w:rPr>
        <w:t>et al.</w:t>
      </w:r>
      <w:r>
        <w:rPr>
          <w:color w:val="000000"/>
        </w:rPr>
        <w:t xml:space="preserve"> </w:t>
      </w:r>
      <w:r>
        <w:rPr>
          <w:rFonts w:ascii="Times New Roman;sans-serif" w:hAnsi="Times New Roman;sans-serif"/>
          <w:b w:val="false"/>
          <w:color w:val="000000"/>
          <w:sz w:val="20"/>
        </w:rPr>
        <w:t xml:space="preserve">v. BuzzFeed, Inc. was filed against the Company in the Southern District of New York, alleging that the Company, by causing the Sharethrough, IQM, and Dotomi trackers to be installed on website visitors’ internet browsers, is collecting visitors’ personal identifying information without their consent, in violation of the California Invasion of Privacy Act (CIPA). Plaintiff, additionally, seeks class certification. The Company plans to move to dismiss the claims.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Nasdaq Listing Compliance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Minimum Bid Requirement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2023, the Company received a letter (the “Notice”) from the Listing Qualifications Department (the “Staff”) of The Nasdaq Stock Market LLC (“Nasdaq”) notifying the Company that, for the previous 30 consecutive business days, the bid price for the Company’s Class A common stock had closed below the minimum $1.00 per share requirement for continued listing on The Nasdaq Global Market under Nasdaq Listing Rule 5550(a)(2) (i.e., the Bid Price Requirement).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Nasdaq Listing Rule 5810(c)(3)(A), the Company was provided an initial period of 180 calendar days, or until November 27, 2023, to regain compliance with the Bid Price Requirement. The Company did not regain compliance with the Bid Price Requirement on or before November 27, 2023. However, upon receipt of both the Company’s application to transfer from The Nasdaq Global Market to The Nasdaq Capital Market and a written notification by the Company of its intent to regain compliance with the Bid Price Requirement, including by effecting a reverse stock split, if necessary, the Staff notified the Company in a letter dated November 28, 2023, that the Company was eligible for an additional 180-day period, or until May 28, 2024, to regain compliance (the “Second Compliance Period”). The Staff’s determination was based, in part, on the Company meeting the continued listing requirement with respect to the market value of publicly held shares and all other applicable requirements for initial listing on The Nasdaq Capital Market except for the Bid Price Requirement. As of the opening of business November 30, 2023, the Company’s Class A common stock and warrants were transferred to The Nasdaq Capital Market, which operates in substantially the same manner as The Nasdaq Global Market, where they continue to trade under the symbols “BZFD” and “BZFDW,”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Note 2 herein, the Company effected the Reverse Stock Split on May 6, 2024. While the closing bid price of the Company’s Class A common stock has exceeded $1.00 since the effective date of the Reverse Stock Split, the Company has not yet regained compliance with the Bid Price Requirement, as there has not been 10 business days since the effective date of the Reverse Stock Split. If, at any time before the end of the Second Compliance Period, the bid price for the Company’s Class A common stock closes at $1.00 or more for at least 10 consecutive business days, unless the Staff exercises its discretion to extend this 10-day period pursuant to Nasdaq Listing Rule 5810(c)(3)(H), the Staff will provide written notification to the Company that it has regained compliance with the Bid Price Requirement. If the Company does not regain compliance with the Bid Price Requirement by the end of the Second Compliance Period (i.e., by May 28, 2024), Nasdaq will notify the Company that its securities are subject to delisting. In the event of such a notification, the Company may appeal the Staff’s determination to delist its securities before the Nasdaq Listing Qualifications Panel. However, there can be no assurance that, if the Company receives a delisting notice and appeals the delisting determination, such an appeal would be successful.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Audit Committee Requirement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Patrick Kerins, then a member of the Company’s board of directors and its audit committee, notified the Company that he did not intend to stand for re-election as a director of the Company at the 2024 Annual Meeting. The Company then promptly notified the Staff that, as a consequence of Mr. Kerins’ failure to seek re-election, following the 2024 Annual Meeting, the audit committee of the Company’s board of directors would consist of two members and, as such, that the Company would no longer be in compliance with Nasdaq Listing Rule 5605(c)(2)(A), which requires that the audit committees of listed companies have a minimum of three members that satisfy certain criteria for service on the committee (i.e., the Nasdaq Audit Committee Requirement). On April 26, 2024, as expected, the Company received a letter from the Staff notifying the Company that the Company was no longer in compliance with the Nasdaq Audit Committee Requirement.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until the earlier of its 2025 annual meeting of stockholders and April 25, 2025 (i.e., one year from the date on which the Company ceased to be compliant) to regain compliance. If the Company is not in compliance with the Nasdaq Audit Committee Requirement by that date, then the Staff will provide written notification to the Company that its Class A common stock will be subject to delisting. At that time, the Company may appeal the Staff’s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delisting determination to the Nasdaq Listing Qualifications Panel. However, there can be no assurance that, if the Company receives a delisting notice and appeals the delisting determination, such an appeal would be successful. The Company intends to appoint a third member to the audit committee of the Company’s board of directors prior to the expiration of the cure period in order to regain compliance with the Nasdaq Audit Committee Requirement.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enterprise about which separate financial information is available that is evaluated regularly by the CODM, in deciding how to allocate resources and in assessing performance.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its chief executive officer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16. Related Party Transactions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Company recognized revenue from NBCUniversal Media, LLC (“NBCU”), a holder of 5% or more of our Class A common stock, of $0.4 million and $0.5 million for the three months ended March 31, 2024 and 2023, respectively. The Company recognized expenses under contractual obligations from NBCU of $nil and $nil for the three months ended March 31, 2024 and 2023, respectively. The Company had outstanding receivable balances of $0.3 million and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from NBCU as of March 31, 2024 and December 31, 2023, respectively. The Company had an outstanding payable balance of $0.2 million and $0.2 million to NBCU as of March 31, 2024 and December 31, 2023, respectively.</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Verizon Ventures LLC (“Verizon”), collectively with its affiliates, is a holder of 5% or more of the Company’s Class A common stock. Verizon is the landlord for the Company’s corporate headquarters, and the Company transacts with Verizon in the normal course of business, such as with agency advertising deals and for certain utilities. The Company recognized revenue from Verizon of $nil and $0.1 million for the three months ended March 31, 2024 and 2023, respectively. The Company recognized expenses under contractual obligations from Verizon of $1.5 million and $1.5 million</w:t>
      </w:r>
      <w:r>
        <w:rPr>
          <w:color w:val="000000"/>
        </w:rPr>
        <w:t xml:space="preserve"> </w:t>
      </w:r>
      <w:r>
        <w:rPr>
          <w:rFonts w:ascii="Times New Roman;sans-serif" w:hAnsi="Times New Roman;sans-serif"/>
          <w:b w:val="false"/>
          <w:color w:val="000000"/>
          <w:sz w:val="20"/>
        </w:rPr>
        <w:t xml:space="preserve">for the three months ended March 31, 2024 and 2023, respectively. The Company had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 xml:space="preserve">outstanding receivables or payables from or to Verizon as of March 31, 2024 or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17. Supplemental Disclosures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Film Costs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Film costs, which were included in prepaid and other assets on the condensed consolidated balance sheets, were as follows:</w:t>
      </w:r>
    </w:p>
    <w:tbl>
      <w:tblPr>
        <w:tblW w:w="5365" w:type="dxa"/>
        <w:jc w:val="left"/>
        <w:tblInd w:w="0" w:type="dxa"/>
        <w:tblLayout w:type="fixed"/>
        <w:tblCellMar>
          <w:top w:w="28" w:type="dxa"/>
          <w:left w:w="28" w:type="dxa"/>
          <w:bottom w:w="28" w:type="dxa"/>
          <w:right w:w="28" w:type="dxa"/>
        </w:tblCellMar>
      </w:tblPr>
      <w:tblGrid>
        <w:gridCol w:w="809"/>
        <w:gridCol w:w="712"/>
        <w:gridCol w:w="714"/>
        <w:gridCol w:w="284"/>
        <w:gridCol w:w="829"/>
        <w:gridCol w:w="146"/>
        <w:gridCol w:w="109"/>
        <w:gridCol w:w="109"/>
        <w:gridCol w:w="109"/>
        <w:gridCol w:w="332"/>
        <w:gridCol w:w="970"/>
        <w:gridCol w:w="242"/>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Individual Monetization:</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Feature films</w:t>
            </w:r>
          </w:p>
        </w:tc>
        <w:tc>
          <w:tcPr>
            <w:tcW w:w="2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24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material amortization of film costs for the three months ended March 31, 2024 or 2023.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Governmental Assistance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Production tax incentives reduced capitalized film costs by $0.7 million as of December 31, 2023 (no material change as of March 31, 2024). The Company had receivables related to our production tax credits of $3.6 million and $3.5 million</w:t>
      </w:r>
      <w:r>
        <w:rPr>
          <w:color w:val="000000"/>
        </w:rPr>
        <w:t xml:space="preserve"> </w:t>
      </w:r>
      <w:r>
        <w:rPr>
          <w:rFonts w:ascii="Times New Roman;sans-serif" w:hAnsi="Times New Roman;sans-serif"/>
          <w:b w:val="false"/>
          <w:color w:val="000000"/>
          <w:sz w:val="20"/>
        </w:rPr>
        <w:t>as of March 31, 2024 and December 31, 2023, respectively, included in prepaid and other current assets in our condensed consolidated balance sheet.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33"/>
        <w:gridCol w:w="2348"/>
        <w:gridCol w:w="2368"/>
        <w:gridCol w:w="211"/>
        <w:gridCol w:w="721"/>
        <w:gridCol w:w="109"/>
        <w:gridCol w:w="109"/>
        <w:gridCol w:w="109"/>
        <w:gridCol w:w="109"/>
        <w:gridCol w:w="211"/>
        <w:gridCol w:w="721"/>
        <w:gridCol w:w="156"/>
      </w:tblGrid>
      <w:tr>
        <w:trPr/>
        <w:tc>
          <w:tcPr>
            <w:tcW w:w="3033"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related to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deferred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and cash equivalents and restricted cash within the condensed consolidated balance sheets to the amounts shown in the condensed consolidated statements of cash flows: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18. Other (Expense) Income,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consisted of the following for the three months ended March 31, 2024 and 2023:</w:t>
      </w:r>
    </w:p>
    <w:tbl>
      <w:tblPr>
        <w:tblW w:w="6025" w:type="dxa"/>
        <w:jc w:val="left"/>
        <w:tblInd w:w="0" w:type="dxa"/>
        <w:tblLayout w:type="fixed"/>
        <w:tblCellMar>
          <w:top w:w="28" w:type="dxa"/>
          <w:left w:w="28" w:type="dxa"/>
          <w:bottom w:w="28" w:type="dxa"/>
          <w:right w:w="28" w:type="dxa"/>
        </w:tblCellMar>
      </w:tblPr>
      <w:tblGrid>
        <w:gridCol w:w="657"/>
        <w:gridCol w:w="577"/>
        <w:gridCol w:w="581"/>
        <w:gridCol w:w="109"/>
        <w:gridCol w:w="109"/>
        <w:gridCol w:w="242"/>
        <w:gridCol w:w="242"/>
        <w:gridCol w:w="469"/>
        <w:gridCol w:w="1203"/>
        <w:gridCol w:w="242"/>
        <w:gridCol w:w="109"/>
        <w:gridCol w:w="109"/>
        <w:gridCol w:w="109"/>
        <w:gridCol w:w="211"/>
        <w:gridCol w:w="466"/>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(loss)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19. Held for Sale, Discontinued Operations, Disposals, and Licenses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Disposal of Complex Networks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Complex Sale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2024, a wholly-owned subsidiary of the Company entered into the Complex Sale Agreement with Commerce Media, providing for the sale of certain assets relating to the business of Complex Networks (i.e., the Disposition). Pursuant to the Complex Sale Agreement, Commerce Media purchased certain assets, and assumed certain liabilities, related to the business of Complex Networks, excluding the business operating under the First We Feast brand and as otherwise set forth in the Complex Sale Agreement, for an aggregate purchase price of $108.6 million, which was paid in cash on February 21, 2024.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Disposition, the Company was required to repay (i) approximately $30.9 million to holders of the Notes and (ii) approximately $33.8 million outstanding under the Revolving Credit Facility, plus accrued and unpaid interest of $0.7 million (such amounts were repaid shortly after the Disposition). The Company terminated the Revolving Credit Facility, except for the $15.5 million in letters of credit outstanding, which were cash collateralized in the amount of $17.1 million. The Company incurred a $0.5 million early termination fee and a standby letter of credit fee of $0.5 million, both of which were paid upon closing of the Disposition on February 21, 2024. Additionally, as described in Note 9 herein, on February 28, 2024, the indenture governing the Notes was amended to, among other things, provide that 95% of the net proceeds of future asset sales must be used to repay the Notes.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closing of the Disposition, the Company and Commerce Media entered into a space sharing agreement whereby Commerce Media paid the Company a one-time license fee of approximately $2.8 million for use of the certain office space in our corporate headquarters from February 21, 2024 until on June 30, 2025 (or such earlier date that the underlying sublease or master lease earlier expires or is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Held for Sale and Discontinued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determined the assets of Complex Networks, excluding the First We Feast brand, met the criteria for classification as held for sale. On February 21, 2024, the Company completed the Disposition for approximately $108.6 million in cash. The Company disposed of Complex Networks in order to refocus its business around scalable, high-margin, and tech-led revenue streams. As such, the Company concluded the ultimate disposal (i.e., the Disposition), represented a strategic shift that had a major effect on the Company’s operations and financial results. Therefore, the historical results of Complex Networks, excluding the First We Feast brand, are classified as discontinued operations for all periods presented herein.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net loss from discontinued operations, net of tax, were as follows:</w:t>
      </w:r>
    </w:p>
    <w:tbl>
      <w:tblPr>
        <w:tblW w:w="7678" w:type="dxa"/>
        <w:jc w:val="left"/>
        <w:tblInd w:w="0" w:type="dxa"/>
        <w:tblLayout w:type="fixed"/>
        <w:tblCellMar>
          <w:top w:w="28" w:type="dxa"/>
          <w:left w:w="28" w:type="dxa"/>
          <w:bottom w:w="28" w:type="dxa"/>
          <w:right w:w="28" w:type="dxa"/>
        </w:tblCellMar>
      </w:tblPr>
      <w:tblGrid>
        <w:gridCol w:w="1733"/>
        <w:gridCol w:w="1527"/>
        <w:gridCol w:w="1539"/>
        <w:gridCol w:w="212"/>
        <w:gridCol w:w="697"/>
        <w:gridCol w:w="110"/>
        <w:gridCol w:w="110"/>
        <w:gridCol w:w="110"/>
        <w:gridCol w:w="110"/>
        <w:gridCol w:w="212"/>
        <w:gridCol w:w="727"/>
        <w:gridCol w:w="110"/>
        <w:gridCol w:w="109"/>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partial debt extinguishment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remeasurement of classification to held for sale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discontinued operations before income taxes </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 net of tax</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for the three months ended March 31, 2024 includes activity only from January 1, 2024 through the date of Disposition (i.e., February 21, 2024). Allocated general corporate overhead costs do not meet the criteria to be presented within net loss from discontinued operations, net of tax, and were excluded from all figures presented in the table above.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there was a tax expense in discontinued operations as a result of the (i) tax effect of a pre-tax loss, (ii) a valuation allowance against net deferred tax assets that were not realizable on a more-likely-than-not basis, and (iii) permanent items and state taxes related to the Disposition. For the three months ended March 31, 2023, there was no income tax provision / (benefit) in discontinued operations, as a result of the valuation allowance against net deferred tax assets that were not realizable on a more-likely-than-not basis.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Disposition, the Company was required to repay approximately $33.8 million outstanding under the Revolving Credit Facility and $30.9 million of the $150.0 million outstanding under the Notes (i.e., approximately 20.6%), leaving approximately $119.1 million aggregate principal amount of Notes outstanding as of March 31, 2024. The Company derecognized approximately 20.6% of the unamortized debt discount costs, which resulted in an approximately $4.9 million loss on partial debt extinguishment that was attributed to the discontinued operation. All historical interest expense associated with the Revolving Credit Facility and 20.6% of the historical interest expense associated with the Notes were allocated to the discontinued operation. </w:t>
      </w:r>
    </w:p>
    <w:p>
      <w:pPr>
        <w:pStyle w:val="TextBody"/>
        <w:bidi w:val="0"/>
        <w:spacing w:lineRule="auto" w:line="276"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the assets of discontinued operations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tbl>
      <w:tblPr>
        <w:tblW w:w="7776" w:type="dxa"/>
        <w:jc w:val="left"/>
        <w:tblInd w:w="0" w:type="dxa"/>
        <w:tblLayout w:type="fixed"/>
        <w:tblCellMar>
          <w:top w:w="28" w:type="dxa"/>
          <w:left w:w="28" w:type="dxa"/>
          <w:bottom w:w="28" w:type="dxa"/>
          <w:right w:w="28" w:type="dxa"/>
        </w:tblCellMar>
      </w:tblPr>
      <w:tblGrid>
        <w:gridCol w:w="2177"/>
        <w:gridCol w:w="1915"/>
        <w:gridCol w:w="1922"/>
        <w:gridCol w:w="109"/>
        <w:gridCol w:w="109"/>
        <w:gridCol w:w="273"/>
        <w:gridCol w:w="1072"/>
        <w:gridCol w:w="199"/>
      </w:tblGrid>
      <w:tr>
        <w:trPr/>
        <w:tc>
          <w:tcPr>
            <w:tcW w:w="217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of discontinued operations, net of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valuation allowance against the assets held for sale to reflect the write-down of the carrying value to fair value less estimated costs to sell. The non-cash valuation allowance of $9.5 million was recorded within loss from classification to held for sale in the summarized financial information of discontinued operations for the year ended December 31, 2023. The Company completed the Disposition during the three months ended March 31, 2024 and recorded a final gain on remeasurement of classification to held for sale of $0.9 million after recording final transaction and related expenses (for a total loss on disposal of approximately $8.6 million).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current assets, current liabilities, or noncurrent liabilities of discontinued operations for the year ended December 31, 2023, as the disposal group consisted of intangible assets, net, and goodwill.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continuing involvement with Commerce Media through a transition services agreement, pursuant to which the Company and Commerce Media provide certain services to each other for a period of time following the Disposition (specifically, for an initial term of 180 days from February 21, 2024, with two additional consecutive terms of 90 days each, at Commerce Media’s discretion). For the three months ended March 31, 2024, we did not collect any cash related to these activities other than what is described in this footnote, which was collected upon the closing of the Disposition.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and Commerce Media entered into a space sharing agreement whereby Commerce Media paid the Company a one-time fee of approximately $2.8 million for the use of certain office space in our corporate headquarters from February 21, 2024 until June 30, 2025 (or such earlier date that the underlying sublease or master lease either expires or is terminated). </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License of BuzzFeed, Tasty, and HuffPost’s U.K.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have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 the BuzzFeed, Tasty and HuffPost brands were transferred to IDNM as of April 1, 2024. Pursuant to the license agreement, IDNM will pay an annual license fee of between £0.3 million and £0.5 million (or approximately between $0.3 million and $0.5 million as of March 31, 2024), plus a net revenue share of 25% if certain criteria are met, as set forth in the license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20. Subsequent Events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2 herein for details regarding the Reverse Stock Split. Additionally, on May 6, 2024, the Company terminated $15.0 million of the $15.5 million in letters of credit issued pursuant to the Revolving Credit Facility, which was replaced with a $15.0 million letter of credit, issued by JPMorgan. </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filings with the Securities and Exchange Commission.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BuzzFeed is a premier digital media company for the most diverse, most online, and most socially connected generations the world has ever seen. Across entertainment, news, food, pop culture and commerce, our brands drive conversation and inspire what audiences watch, read, and buy now — and into the future. Our iconic, globally-loved brands include BuzzFeed, HuffPost, Tasty, and First We Feast (including Hot Ones). Today, our flagship BuzzFeed brand continues to be the biggest player in digital media, with vastly more time spent than widely known digital and legacy brands like Vox, Bustle, and People.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massive scale and low cost. As a result, each of our brands has a large, loyal, highly-engaged audience that is very attractive to advertisers, and through our rich first party data offering and contextual marketing solutions, we are able to help both advertisers and creators effectively and efficiently reach their target audiences. In 2023, our audiences consumed more than 300 million hours of content and drove over $500 million in attributable transactions.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focused on revenue diversification and profitability (on an Adjusted EBITDA-basis, a non-GAAP financial measure, as discussed below). Our data-driven approach to content creation and our cross-platform distribution network have enabled us to monetize our content by delivering a comprehensive suite of digital advertising products and services and introducing new, complementary revenue streams.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determined that the assets of Complex Networks, excluding the First We Feast brand, met the criteria for classification as held for sale. Additionally, we concluded the ultimate disposal, which took place on February 21, 2024 (the “Disposition”), represented a strategic shift that had a major effect on our operations and financial results. As such, the historical financial results of Complex Networks have been reflected as discontinued operations in our condensed consolidated financial statements. Refer to Note 19 to the condensed consolidated financial statements included elsewhere within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The Business Combination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ind w:left="0" w:right="0" w:firstLine="720"/>
        <w:jc w:val="both"/>
        <w:rPr/>
      </w:pPr>
      <w:r>
        <w:rPr>
          <w:rFonts w:ascii="Times New Roman;sans-serif" w:hAnsi="Times New Roman;sans-serif"/>
          <w:b w:val="false"/>
          <w:color w:val="000000"/>
          <w:sz w:val="20"/>
        </w:rPr>
        <w:t xml:space="preserve">Additionally, pursuant to subscription agreements entered into in connection with the consummation of the Business Combination, we issued, and certain investors purchased, $150.0 million aggregate principal amount of unsecured convertible notes due 2026 (the “Notes”) concurrently with the closing of the Business Combination. On March 7, 2024, we repaid approximately $30.9 million to holders of the Notes, leaving approximately $119.1 million aggregate principal amount of Notes outstanding as of March 31, 2024. Refer to </w:t>
      </w:r>
      <w:r>
        <w:rPr>
          <w:rFonts w:ascii="Times New Roman;sans-serif" w:hAnsi="Times New Roman;sans-serif"/>
          <w:b w:val="false"/>
          <w:color w:val="000000"/>
          <w:sz w:val="20"/>
          <w:shd w:fill="FFFFFF" w:val="clear"/>
        </w:rPr>
        <w:t xml:space="preserve">Notes 8 and </w:t>
      </w:r>
      <w:r>
        <w:rPr>
          <w:rFonts w:ascii="Times New Roman;sans-serif" w:hAnsi="Times New Roman;sans-serif"/>
          <w:b w:val="false"/>
          <w:color w:val="000000"/>
          <w:sz w:val="20"/>
        </w:rPr>
        <w:t>19</w:t>
      </w:r>
      <w:r>
        <w:rPr>
          <w:color w:val="000000"/>
          <w:shd w:fill="FFFFFF" w:val="clear"/>
        </w:rPr>
        <w:t xml:space="preserve"> </w:t>
      </w:r>
      <w:r>
        <w:rPr>
          <w:rFonts w:ascii="Times New Roman;sans-serif" w:hAnsi="Times New Roman;sans-serif"/>
          <w:b w:val="false"/>
          <w:color w:val="000000"/>
          <w:sz w:val="20"/>
          <w:shd w:fill="FFFFFF" w:val="clear"/>
        </w:rPr>
        <w:t>to the condensed consolidated financial statements included elsewhere within this Quarterly Report on Form 10-Q</w:t>
      </w:r>
      <w:r>
        <w:rPr>
          <w:color w:val="000000"/>
        </w:rPr>
        <w:t xml:space="preserve"> </w:t>
      </w:r>
      <w:r>
        <w:rPr>
          <w:rFonts w:ascii="Times New Roman;sans-serif" w:hAnsi="Times New Roman;sans-serif"/>
          <w:b w:val="false"/>
          <w:color w:val="000000"/>
          <w:sz w:val="20"/>
        </w:rPr>
        <w:t>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we announced plans to reduce expenses by implementing an approximately 16% reduction in the then-current workforce (after the Disposition). In doing so, we reduced the size of our centralized operations to enable our individual brands to operate with more autonomy and deliver against their differentiated value propositions for advertisers. The reduction in workforce plan is intended to position us to be more agile, sustainable, and profitable. We incurred approximately $2.9 million of restructuring costs for the three months ended March 31, 2024, comprised mainly of severance and related benefits costs, of which $1.2 million were included in cost of revenue, excluding depreciation and amortization, $1.5 million were included in sales and marketing, and $0.2 million were included in general and administrative. As of March 31, 2024, $1.9 million remain unpaid and were included in accrued compensation on the condensed consolidated balance sheet. These costs are primarily expected to be paid in the second quarter of 2024.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accordance with the Asset Purchase Agreement (the “Complex Sale Agreement”), dated as of February 21, 2024 between a wholly-owned subsidiary of the Company and Commerce Media Holdings, LLC., pursuant to which the Disposition was consummated, Commerce Media reimbursed us for approximately $1.8 million in payments related to “Non-Transferring Employees” (as defined in the Complex Sale Agreement), including severance. The amount of these severance and related charges are not included within the restructuring charges noted above. We treated the reimbursement as an expense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Effects of Current Economic Conditions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ongoing macroeconomic uncertainty and elevated interest rates, which has contributed to reduced spending from advertising and content customers. These macroeconomic factors have adversely impacted our advertising and content revenue in 2023 and to date in 2024, and we expect these factors will continue to adversely affect our revenue in 2024.</w:t>
      </w:r>
      <w:r>
        <w:rPr>
          <w:color w:val="000000"/>
          <w:shd w:fill="FFFFFF" w:val="clear"/>
        </w:rPr>
        <w:t xml:space="preserve"> </w:t>
      </w:r>
      <w:r>
        <w:rPr>
          <w:rFonts w:ascii="Times New Roman;sans-serif" w:hAnsi="Times New Roman;sans-serif"/>
          <w:b w:val="false"/>
          <w:color w:val="000000"/>
          <w:sz w:val="20"/>
          <w:shd w:fill="FFFFFF" w:val="clear"/>
        </w:rPr>
        <w:t>In addition, u</w:t>
      </w:r>
      <w:r>
        <w:rPr>
          <w:rFonts w:ascii="Times New Roman;sans-serif" w:hAnsi="Times New Roman;sans-serif"/>
          <w:b w:val="false"/>
          <w:color w:val="000000"/>
          <w:sz w:val="20"/>
        </w:rPr>
        <w:t xml:space="preserve">ncertainty surrounding macroeconomic factors in the U.S. and globally characterized by inflationary pressure, elevated interest rates, geopolitical issues or other factors may result in a recession, which could have a material adverse effect on our business. </w:t>
      </w:r>
      <w:r>
        <w:rPr>
          <w:rFonts w:ascii="Times New Roman;sans-serif" w:hAnsi="Times New Roman;sans-serif"/>
          <w:b w:val="false"/>
          <w:color w:val="000000"/>
          <w:sz w:val="20"/>
          <w:shd w:fill="FFFFFF" w:val="clear"/>
        </w:rPr>
        <w:t xml:space="preserve">Refer to Part I, Item 1A “Risk Factors” </w:t>
      </w:r>
      <w:r>
        <w:rPr>
          <w:rFonts w:ascii="Times New Roman;sans-serif" w:hAnsi="Times New Roman;sans-serif"/>
          <w:b w:val="false"/>
          <w:color w:val="000000"/>
          <w:sz w:val="20"/>
        </w:rPr>
        <w:t>within our Annual Report on Form 10-K for the fiscal year ended December 31, 2023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Executive Overview</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operational highlights for the periods presented (in thousands):</w:t>
      </w:r>
    </w:p>
    <w:tbl>
      <w:tblPr>
        <w:tblW w:w="6678" w:type="dxa"/>
        <w:jc w:val="left"/>
        <w:tblInd w:w="0" w:type="dxa"/>
        <w:tblLayout w:type="fixed"/>
        <w:tblCellMar>
          <w:top w:w="28" w:type="dxa"/>
          <w:left w:w="28" w:type="dxa"/>
          <w:bottom w:w="28" w:type="dxa"/>
          <w:right w:w="28" w:type="dxa"/>
        </w:tblCellMar>
      </w:tblPr>
      <w:tblGrid>
        <w:gridCol w:w="1198"/>
        <w:gridCol w:w="1051"/>
        <w:gridCol w:w="1065"/>
        <w:gridCol w:w="211"/>
        <w:gridCol w:w="796"/>
        <w:gridCol w:w="271"/>
        <w:gridCol w:w="109"/>
        <w:gridCol w:w="109"/>
        <w:gridCol w:w="109"/>
        <w:gridCol w:w="211"/>
        <w:gridCol w:w="796"/>
        <w:gridCol w:w="271"/>
        <w:gridCol w:w="109"/>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GAAP</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w:t>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Non-Financial</w:t>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Time Spent</w:t>
            </w:r>
            <w:r>
              <w:rPr>
                <w:rFonts w:ascii="Times New Roman;sans-serif" w:hAnsi="Times New Roman;sans-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 on owned and operated properties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 on third-party platforms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(1)See “</w:t>
      </w:r>
      <w:r>
        <w:rPr>
          <w:rFonts w:ascii="Times New Roman;sans-serif" w:hAnsi="Times New Roman;sans-serif"/>
          <w:b w:val="false"/>
          <w:i/>
          <w:color w:val="000000"/>
          <w:sz w:val="20"/>
        </w:rPr>
        <w:t>Reconciliation from Net loss from continuing operations to Adjusted EBITDA</w:t>
      </w:r>
      <w:r>
        <w:rPr>
          <w:color w:val="000000"/>
        </w:rPr>
        <w:t xml:space="preserve">” </w:t>
      </w:r>
      <w:r>
        <w:rPr>
          <w:rFonts w:ascii="Times New Roman;sans-serif" w:hAnsi="Times New Roman;sans-serif"/>
          <w:b w:val="false"/>
          <w:color w:val="000000"/>
          <w:sz w:val="20"/>
        </w:rPr>
        <w:t>for a reconciliation of Adjusted EBITDA to the most directly comparable financial measure in accordance with accounting principles generally accepted in the U.S (“GAAP”).</w:t>
      </w:r>
    </w:p>
    <w:p>
      <w:pPr>
        <w:pStyle w:val="TextBody"/>
        <w:bidi w:val="0"/>
        <w:spacing w:lineRule="auto" w:line="288" w:before="240" w:after="283"/>
        <w:ind w:left="0" w:right="0" w:hanging="360"/>
        <w:jc w:val="both"/>
        <w:rPr/>
      </w:pPr>
      <w:r>
        <w:rPr>
          <w:rFonts w:ascii="Times New Roman;sans-serif" w:hAnsi="Times New Roman;sans-serif"/>
          <w:b w:val="false"/>
          <w:color w:val="000000"/>
          <w:sz w:val="20"/>
        </w:rPr>
        <w:t>(2)We define Time Spent as the estimated total number of hours spent by users on our owned and operated U.S. properties, our content on Apple News in the U.S.,</w:t>
      </w:r>
      <w:r>
        <w:rPr>
          <w:color w:val="000000"/>
          <w:shd w:fill="FFFFFF" w:val="clear"/>
        </w:rPr>
        <w:t xml:space="preserve"> </w:t>
      </w:r>
      <w:r>
        <w:rPr>
          <w:rFonts w:ascii="Times New Roman;sans-serif" w:hAnsi="Times New Roman;sans-serif"/>
          <w:b w:val="false"/>
          <w:color w:val="000000"/>
          <w:sz w:val="20"/>
          <w:shd w:fill="FFFFFF" w:val="clear"/>
        </w:rPr>
        <w:t>and</w:t>
      </w:r>
      <w:r>
        <w:rPr>
          <w:color w:val="000000"/>
        </w:rPr>
        <w:t xml:space="preserve"> </w:t>
      </w:r>
      <w:r>
        <w:rPr>
          <w:rFonts w:ascii="Times New Roman;sans-serif" w:hAnsi="Times New Roman;sans-serif"/>
          <w:b w:val="false"/>
          <w:color w:val="000000"/>
          <w:sz w:val="20"/>
        </w:rPr>
        <w:t>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Twitter. There are inherent challenges in measuring the total actual number of hours spent with our content across all platforms; however, we consider the data reported by Comscore</w:t>
      </w:r>
      <w:r>
        <w:rPr>
          <w:color w:val="000000"/>
          <w:shd w:fill="FFFFFF" w:val="clear"/>
        </w:rPr>
        <w:t xml:space="preserv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 xml:space="preserve">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w:t>
      </w:r>
      <w:r>
        <w:rPr>
          <w:rFonts w:ascii="Times New Roman;sans-serif" w:hAnsi="Times New Roman;sans-serif"/>
          <w:b w:val="false"/>
          <w:color w:val="000000"/>
          <w:sz w:val="20"/>
          <w:shd w:fill="FFFFFF" w:val="clear"/>
        </w:rPr>
        <w:t xml:space="preserve">Time Spent for the three months ended March 31, 2024 decreased by 16%, consistent with broader industry trends, </w:t>
      </w:r>
      <w:r>
        <w:rPr>
          <w:rFonts w:ascii="Times New Roman;sans-serif" w:hAnsi="Times New Roman;sans-serif"/>
          <w:b w:val="false"/>
          <w:color w:val="000000"/>
          <w:sz w:val="20"/>
        </w:rPr>
        <w:t>amongst our competitive set, according to Comscore</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Time Spent presented above excludes time spent on Complex Networks, as Complex Networks is presented as a discontinued operation herein (refer to Note 19 to the condensed consolidated financial statements included elsewhere within this Quarterly Report on Form 10-Q for additional details). Time Spent on Complex Networks, as reported by Comscore, was approximately 10.0 million and 28.7 million</w:t>
      </w:r>
      <w:r>
        <w:rPr>
          <w:color w:val="000000"/>
        </w:rPr>
        <w:t xml:space="preserve"> </w:t>
      </w:r>
      <w:r>
        <w:rPr>
          <w:rFonts w:ascii="Times New Roman;sans-serif" w:hAnsi="Times New Roman;sans-serif"/>
          <w:b w:val="false"/>
          <w:color w:val="000000"/>
          <w:sz w:val="20"/>
        </w:rPr>
        <w:t xml:space="preserve">hours for the three months ended </w:t>
      </w:r>
      <w:r>
        <w:rPr>
          <w:rFonts w:ascii="Times New Roman;sans-serif" w:hAnsi="Times New Roman;sans-serif"/>
          <w:b w:val="false"/>
          <w:color w:val="000000"/>
          <w:sz w:val="20"/>
          <w:shd w:fill="FFFFFF" w:val="clear"/>
        </w:rPr>
        <w:t>March 31, 2024</w:t>
      </w:r>
      <w:r>
        <w:rPr>
          <w:color w:val="000000"/>
        </w:rPr>
        <w:t xml:space="preserve"> </w:t>
      </w:r>
      <w:r>
        <w:rPr>
          <w:rFonts w:ascii="Times New Roman;sans-serif" w:hAnsi="Times New Roman;sans-serif"/>
          <w:b w:val="false"/>
          <w:color w:val="000000"/>
          <w:sz w:val="20"/>
        </w:rPr>
        <w:t xml:space="preserve">and 2023, respectively (through the date of Disposition, February 21, 2024, for the three months ended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Time Spent on Complex Networks, as reported by Comscore, historically included Time Spent on First We Feast, as First We Feast was historically under the Complex Networks’ measurement portfolio of Comscore. At this time, Time Spent on First We Feast cannot be reasonably bifurcated from Time Spent on Complex Networks. As such, in order to have a more comparable measure of Time Spent, we have excluded Time Spent on First We Feast from our measure of Time Spent presented above, and we will exclude Time Spent on First We Feast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Content Performance Metrics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certain metrics to assess the operational and financial performance of our business. Effective January 1, 2023, we introduced new metrics with respect to our branded content revenue, which represents the majority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reported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following table sets forth certain operating metrics for our branded content revenue for the three months ended </w:t>
      </w:r>
      <w:r>
        <w:rPr>
          <w:rFonts w:ascii="Times New Roman;sans-serif" w:hAnsi="Times New Roman;sans-serif"/>
          <w:b w:val="false"/>
          <w:color w:val="000000"/>
          <w:sz w:val="20"/>
          <w:shd w:fill="FFFFFF" w:val="clear"/>
        </w:rPr>
        <w:t>March 31, 2024 and 2023</w:t>
      </w:r>
      <w:r>
        <w:rPr>
          <w:color w:val="000000"/>
        </w:rPr>
        <w:t xml:space="preserve"> </w:t>
      </w:r>
      <w:r>
        <w:rPr>
          <w:rFonts w:ascii="Times New Roman;sans-serif" w:hAnsi="Times New Roman;sans-serif"/>
          <w:b w:val="false"/>
          <w:color w:val="000000"/>
          <w:sz w:val="20"/>
        </w:rPr>
        <w:t>(on a trailing 12-month basis):</w:t>
      </w:r>
    </w:p>
    <w:tbl>
      <w:tblPr>
        <w:tblW w:w="6392" w:type="dxa"/>
        <w:jc w:val="left"/>
        <w:tblInd w:w="0" w:type="dxa"/>
        <w:tblLayout w:type="fixed"/>
        <w:tblCellMar>
          <w:top w:w="28" w:type="dxa"/>
          <w:left w:w="28" w:type="dxa"/>
          <w:bottom w:w="28" w:type="dxa"/>
          <w:right w:w="28" w:type="dxa"/>
        </w:tblCellMar>
      </w:tblPr>
      <w:tblGrid>
        <w:gridCol w:w="1538"/>
        <w:gridCol w:w="1348"/>
        <w:gridCol w:w="1358"/>
        <w:gridCol w:w="211"/>
        <w:gridCol w:w="406"/>
        <w:gridCol w:w="271"/>
        <w:gridCol w:w="109"/>
        <w:gridCol w:w="109"/>
        <w:gridCol w:w="109"/>
        <w:gridCol w:w="211"/>
        <w:gridCol w:w="406"/>
        <w:gridCol w:w="316"/>
      </w:tblGrid>
      <w:tr>
        <w:trPr/>
        <w:tc>
          <w:tcPr>
            <w:tcW w:w="15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branded content advertiser revenue retention</w:t>
            </w:r>
            <w:r>
              <w:rPr>
                <w:rFonts w:ascii="Times New Roman;sans-serif" w:hAnsi="Times New Roman;sans-serif"/>
                <w:b w:val="false"/>
                <w:color w:val="000000"/>
                <w:sz w:val="13"/>
              </w:rPr>
              <w:t>(1)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Branded content advertisers</w:t>
            </w:r>
            <w:r>
              <w:rPr>
                <w:rFonts w:ascii="Times New Roman;sans-serif" w:hAnsi="Times New Roman;sans-serif"/>
                <w:b w:val="false"/>
                <w:color w:val="000000"/>
                <w:sz w:val="13"/>
              </w:rPr>
              <w:t>(2)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&gt;50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&gt;60</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average branded content advertiser revenue</w:t>
            </w:r>
            <w:r>
              <w:rPr>
                <w:rFonts w:ascii="Times New Roman;sans-serif" w:hAnsi="Times New Roman;sans-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(1)Net branded content advertiser revenue retention is calculated by dividing the branded content revenue for the trailing 12 months from the close of the current reporting period, from advertisers who were also advertisers at the close of the same period in the prior year (the “base period”), by the branded content revenue for the trailing 12 months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both"/>
        <w:rPr/>
      </w:pPr>
      <w:r>
        <w:rPr>
          <w:rFonts w:ascii="Times New Roman;sans-serif" w:hAnsi="Times New Roman;sans-serif"/>
          <w:b/>
          <w:i/>
          <w:color w:val="000000"/>
          <w:sz w:val="20"/>
        </w:rPr>
        <w:t xml:space="preserve">Revenue: </w:t>
      </w:r>
      <w:r>
        <w:rPr>
          <w:rFonts w:ascii="Times New Roman;sans-serif" w:hAnsi="Times New Roman;sans-serif"/>
          <w:b w:val="false"/>
          <w:color w:val="000000"/>
          <w:sz w:val="20"/>
        </w:rPr>
        <w:t>The majority of our revenue is generated through the following types of arrangements: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Advertising: </w:t>
      </w:r>
      <w:r>
        <w:rPr>
          <w:rFonts w:ascii="Times New Roman;sans-serif" w:hAnsi="Times New Roman;sans-serif"/>
          <w:b w:val="false"/>
          <w:color w:val="000000"/>
          <w:sz w:val="20"/>
        </w:rPr>
        <w:t>Consists of display, programmatic, and video advertising on our owned and operated sites and applications and 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Content: </w:t>
      </w:r>
      <w:r>
        <w:rPr>
          <w:rFonts w:ascii="Times New Roman;sans-serif" w:hAnsi="Times New Roman;sans-serif"/>
          <w:b w:val="false"/>
          <w:color w:val="000000"/>
          <w:sz w:val="20"/>
        </w:rPr>
        <w:t xml:space="preserve">Includes revenue generated from creating content, including promotional content, and customer advertising (herein referred to as “branded content”). Additionally, includes revenue from feature films and content licensing. Content revenue is recognized when the content, or the related action (click or view), is delivered.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Commerce and other: </w:t>
      </w:r>
      <w:r>
        <w:rPr>
          <w:rFonts w:ascii="Times New Roman;sans-serif" w:hAnsi="Times New Roman;sans-serif"/>
          <w:b w:val="false"/>
          <w:color w:val="000000"/>
          <w:sz w:val="20"/>
        </w:rPr>
        <w:t xml:space="preserve">Includes affiliate marketplace revenue and licensing of intellectual property. We participate in multiple marketplace arrangements with third parties whereby we provide affiliate links which redirect the audience to purchase products and/or services from the third parties. When the participant purchases a product and / or service, we receive a commission fee for that sale from the third party. Affiliate marketplace revenue is recognized when a successful sale is made and the commission is earned. </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Cost of revenue, excluding depreciation and amortization:</w:t>
      </w:r>
      <w:r>
        <w:rPr>
          <w:color w:val="000000"/>
        </w:rPr>
        <w:t xml:space="preserve"> </w:t>
      </w:r>
      <w:r>
        <w:rPr>
          <w:rFonts w:ascii="Times New Roman;sans-serif" w:hAnsi="Times New Roman;sans-serif"/>
          <w:b w:val="false"/>
          <w:color w:val="000000"/>
          <w:sz w:val="20"/>
        </w:rPr>
        <w:t>Consists primarily of compensation-related expenses and costs incurred for the creation of editorial, promotional, and news content across all platforms, as well as amounts due to third-party websites and platforms to fulfill customers’ advertising campaigns. Web hosting and advertising serving platform costs are also included in cost of revenue.</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Sales and marketing</w:t>
      </w:r>
      <w:r>
        <w:rPr>
          <w:rFonts w:ascii="Times New Roman;sans-serif" w:hAnsi="Times New Roman;sans-serif"/>
          <w:b w:val="false"/>
          <w:color w:val="000000"/>
          <w:sz w:val="20"/>
        </w:rPr>
        <w:t>: Consists primarily of compensation-related expenses for sales employees. In addition, sales and marketing expenses include advertising costs and market research.</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General and administrative</w:t>
      </w:r>
      <w:r>
        <w:rPr>
          <w:rFonts w:ascii="Times New Roman;sans-serif" w:hAnsi="Times New Roman;sans-serif"/>
          <w:b w:val="false"/>
          <w:color w:val="000000"/>
          <w:sz w:val="20"/>
        </w:rPr>
        <w:t xml:space="preserve">: Consists of compensation-related expenses for corporate employees. Also, it consists of expenses for facilities, professional services fees, insurance costs, and other general overhead costs. </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Research and development:</w:t>
      </w:r>
      <w:r>
        <w:rPr>
          <w:color w:val="000000"/>
        </w:rPr>
        <w:t xml:space="preserve"> </w:t>
      </w:r>
      <w:r>
        <w:rPr>
          <w:rFonts w:ascii="Times New Roman;sans-serif" w:hAnsi="Times New Roman;sans-serif"/>
          <w:b w:val="false"/>
          <w:color w:val="000000"/>
          <w:sz w:val="20"/>
        </w:rPr>
        <w:t>Consists primarily of compensation-related expenses incurred for the development of, enhancements to, and maintenance of our website, technology platforms, data collection and infrastructure. Research and development expenses that do not meet the criteria for capitalization are expensed as incurred.</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Depreciation and amortization:</w:t>
      </w:r>
      <w:r>
        <w:rPr>
          <w:color w:val="000000"/>
        </w:rPr>
        <w:t xml:space="preserve"> </w:t>
      </w:r>
      <w:r>
        <w:rPr>
          <w:rFonts w:ascii="Times New Roman;sans-serif" w:hAnsi="Times New Roman;sans-serif"/>
          <w:b w:val="false"/>
          <w:color w:val="000000"/>
          <w:sz w:val="20"/>
        </w:rPr>
        <w:t>Represents depreciation of property and equipment and amortization of intangible assets and capitalized software costs.</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Other (expense) income, net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Consists of foreign exchange gains and losses, gains and losses on investments, gains and losses on dispositions of subsidiaries, gains and losses on disposition of assets, and other miscellaneous income and expenses.</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Interest expense, net:</w:t>
      </w:r>
      <w:r>
        <w:rPr>
          <w:color w:val="000000"/>
        </w:rPr>
        <w:t xml:space="preserve"> </w:t>
      </w:r>
      <w:r>
        <w:rPr>
          <w:rFonts w:ascii="Times New Roman;sans-serif" w:hAnsi="Times New Roman;sans-serif"/>
          <w:b w:val="false"/>
          <w:color w:val="000000"/>
          <w:sz w:val="20"/>
        </w:rPr>
        <w:t>Consists of interest expense incurred on our borrowings, net of interest income on interest bearing checking accounts.</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Change in fair value of warrant liabilities:</w:t>
      </w:r>
      <w:r>
        <w:rPr>
          <w:color w:val="000000"/>
        </w:rPr>
        <w:t xml:space="preserve"> </w:t>
      </w:r>
      <w:r>
        <w:rPr>
          <w:rFonts w:ascii="Times New Roman;sans-serif" w:hAnsi="Times New Roman;sans-serif"/>
          <w:b w:val="false"/>
          <w:color w:val="000000"/>
          <w:sz w:val="20"/>
        </w:rPr>
        <w:t>Reflects the changes in warrant liabilities which is primarily based on the market price of our Public Warrants listed on Nasdaq under the symbol “BZFDW.” Refer to Note 4 to the condensed consolidated financial statements for additional details.</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Change in fair value of derivative liability:</w:t>
      </w:r>
      <w:r>
        <w:rPr>
          <w:color w:val="000000"/>
        </w:rPr>
        <w:t xml:space="preserve"> </w:t>
      </w:r>
      <w:r>
        <w:rPr>
          <w:rFonts w:ascii="Times New Roman;sans-serif" w:hAnsi="Times New Roman;sans-serif"/>
          <w:b w:val="false"/>
          <w:color w:val="000000"/>
          <w:sz w:val="20"/>
        </w:rPr>
        <w:t xml:space="preserve">In December 2021, we issued a $150.0 million aggregate principal amount of unsecured convertible notes due 2026 (i.e., the Notes) that contain redemption features which we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were embedded derivatives to be recognized as liabilities and measured at fair value. At the end of each reporting period, changes in the estimated fair value during the period are recorded as a change in the fair value of derivative liability. During the year ended December 31, 2023, we determined the fair value of the derivative liability was immaterial; refer to Note 4 to the condensed consolidated financial statements included elsewhere in this Quarterly Report on Form 10-Q for additional details. On March 7, 2024, we repaid approximately $30.9 million to holders of the Notes, leaving approximately $119.1 million aggregate principal amount of Notes outstanding as of March 31, 2024.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Income tax provision:</w:t>
      </w:r>
      <w:r>
        <w:rPr>
          <w:color w:val="000000"/>
        </w:rPr>
        <w:t xml:space="preserve"> </w:t>
      </w:r>
      <w:r>
        <w:rPr>
          <w:rFonts w:ascii="Times New Roman;sans-serif" w:hAnsi="Times New Roman;sans-serif"/>
          <w:b w:val="false"/>
          <w:color w:val="000000"/>
          <w:sz w:val="20"/>
        </w:rPr>
        <w:t>Represents federal, state, and local taxes based on income in multiple domestic and international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results for the three months ended March 31, 2024 and 2023</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statement of operations data for each of the periods presented (in thousands):</w:t>
      </w:r>
    </w:p>
    <w:tbl>
      <w:tblPr>
        <w:tblW w:w="7839" w:type="dxa"/>
        <w:jc w:val="left"/>
        <w:tblInd w:w="0" w:type="dxa"/>
        <w:tblLayout w:type="fixed"/>
        <w:tblCellMar>
          <w:top w:w="28" w:type="dxa"/>
          <w:left w:w="28" w:type="dxa"/>
          <w:bottom w:w="28" w:type="dxa"/>
          <w:right w:w="28" w:type="dxa"/>
        </w:tblCellMar>
      </w:tblPr>
      <w:tblGrid>
        <w:gridCol w:w="1733"/>
        <w:gridCol w:w="1527"/>
        <w:gridCol w:w="1539"/>
        <w:gridCol w:w="211"/>
        <w:gridCol w:w="796"/>
        <w:gridCol w:w="109"/>
        <w:gridCol w:w="109"/>
        <w:gridCol w:w="109"/>
        <w:gridCol w:w="109"/>
        <w:gridCol w:w="211"/>
        <w:gridCol w:w="796"/>
        <w:gridCol w:w="109"/>
        <w:gridCol w:w="109"/>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continuing operations before income taxes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BuzzFeed,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 included in stock-based compensation expense are included in the condensed consolidated statements of operations as follows (in thousands):</w:t>
      </w:r>
    </w:p>
    <w:tbl>
      <w:tblPr>
        <w:tblW w:w="7676" w:type="dxa"/>
        <w:jc w:val="left"/>
        <w:tblInd w:w="0" w:type="dxa"/>
        <w:tblLayout w:type="fixed"/>
        <w:tblCellMar>
          <w:top w:w="28" w:type="dxa"/>
          <w:left w:w="28" w:type="dxa"/>
          <w:bottom w:w="28" w:type="dxa"/>
          <w:right w:w="28" w:type="dxa"/>
        </w:tblCellMar>
      </w:tblPr>
      <w:tblGrid>
        <w:gridCol w:w="1740"/>
        <w:gridCol w:w="1528"/>
        <w:gridCol w:w="1532"/>
        <w:gridCol w:w="266"/>
        <w:gridCol w:w="589"/>
        <w:gridCol w:w="137"/>
        <w:gridCol w:w="137"/>
        <w:gridCol w:w="137"/>
        <w:gridCol w:w="137"/>
        <w:gridCol w:w="266"/>
        <w:gridCol w:w="589"/>
        <w:gridCol w:w="137"/>
        <w:gridCol w:w="109"/>
        <w:gridCol w:w="109"/>
        <w:gridCol w:w="109"/>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negative stock-based compensation expense for the three months ended March 31, 2023 for research and development was due to forfeitures.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The following table sets forth our condensed consolidated statement of operations data for each of the periods presented as a percentage of revenue</w:t>
      </w:r>
      <w:r>
        <w:rPr>
          <w:rFonts w:ascii="Times New Roman;sans-serif" w:hAnsi="Times New Roman;sans-serif"/>
          <w:b w:val="false"/>
          <w:color w:val="000000"/>
          <w:sz w:val="13"/>
        </w:rPr>
        <w:t>(1)</w:t>
      </w:r>
      <w:r>
        <w:rPr>
          <w:rFonts w:ascii="Times New Roman;sans-serif" w:hAnsi="Times New Roman;sans-serif"/>
          <w:b w:val="false"/>
          <w:color w:val="000000"/>
          <w:sz w:val="20"/>
        </w:rPr>
        <w:t>:</w:t>
      </w:r>
    </w:p>
    <w:tbl>
      <w:tblPr>
        <w:tblW w:w="7808" w:type="dxa"/>
        <w:jc w:val="left"/>
        <w:tblInd w:w="0" w:type="dxa"/>
        <w:tblLayout w:type="fixed"/>
        <w:tblCellMar>
          <w:top w:w="28" w:type="dxa"/>
          <w:left w:w="28" w:type="dxa"/>
          <w:bottom w:w="28" w:type="dxa"/>
          <w:right w:w="28" w:type="dxa"/>
        </w:tblCellMar>
      </w:tblPr>
      <w:tblGrid>
        <w:gridCol w:w="1733"/>
        <w:gridCol w:w="1527"/>
        <w:gridCol w:w="1539"/>
        <w:gridCol w:w="233"/>
        <w:gridCol w:w="233"/>
        <w:gridCol w:w="498"/>
        <w:gridCol w:w="200"/>
        <w:gridCol w:w="200"/>
        <w:gridCol w:w="200"/>
        <w:gridCol w:w="233"/>
        <w:gridCol w:w="233"/>
        <w:gridCol w:w="498"/>
        <w:gridCol w:w="109"/>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discontinued operations, net of tax</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BuzzFeed, Inc.</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(1)Percentages have been rounded for presentation purposes and may differ from unrounded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was as follows (in thousands):</w:t>
      </w:r>
    </w:p>
    <w:tbl>
      <w:tblPr>
        <w:tblW w:w="6178" w:type="dxa"/>
        <w:jc w:val="left"/>
        <w:tblInd w:w="0" w:type="dxa"/>
        <w:tblLayout w:type="fixed"/>
        <w:tblCellMar>
          <w:top w:w="28" w:type="dxa"/>
          <w:left w:w="28" w:type="dxa"/>
          <w:bottom w:w="28" w:type="dxa"/>
          <w:right w:w="28" w:type="dxa"/>
        </w:tblCellMar>
      </w:tblPr>
      <w:tblGrid>
        <w:gridCol w:w="651"/>
        <w:gridCol w:w="573"/>
        <w:gridCol w:w="576"/>
        <w:gridCol w:w="211"/>
        <w:gridCol w:w="721"/>
        <w:gridCol w:w="109"/>
        <w:gridCol w:w="109"/>
        <w:gridCol w:w="109"/>
        <w:gridCol w:w="109"/>
        <w:gridCol w:w="211"/>
        <w:gridCol w:w="721"/>
        <w:gridCol w:w="109"/>
        <w:gridCol w:w="109"/>
        <w:gridCol w:w="109"/>
        <w:gridCol w:w="109"/>
        <w:gridCol w:w="218"/>
        <w:gridCol w:w="218"/>
        <w:gridCol w:w="507"/>
        <w:gridCol w:w="109"/>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 decreased by $6.0 million, or 22%, for the three months ended March 31, 2024, primarily due to a decline in advertising products monetized on a per impression basis, reflecting a 16% decline in the number of programmatic impressions delivered and a 6% decline in overall pricing. The decline in impressions and overall pricing was primarily due to a decline in revenues generated from distributed platforms.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Content revenue decreased by $3.1 million, or 19%, for the three months ended March 31, 2024, driven by a $2.1 million decrease in revenue associated with non-recurring custom content campaigns that were delivered during the three months ended March 31, 2023, with no comparable revenue during the current three-month period. The remaining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$1.0 million was primarily attributable to the decline in the number of branded content customers year-over-year. We expect content revenue to continue to decline in 2024 as we focus on programmatic advertising and affiliate products.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Commerce and other declined by $1.0 million, or 9%, for the three months ended March 31, 2024, primarily due to less promotional spending and lower shopping traffic as compared to the three months ended March 31, 2023. We expect these trends to adversely impact our commerce and other revenue in the short-term.</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 excluding depreciation and amortization:</w:t>
      </w:r>
    </w:p>
    <w:tbl>
      <w:tblPr>
        <w:tblW w:w="9807" w:type="dxa"/>
        <w:jc w:val="left"/>
        <w:tblInd w:w="0" w:type="dxa"/>
        <w:tblLayout w:type="fixed"/>
        <w:tblCellMar>
          <w:top w:w="28" w:type="dxa"/>
          <w:left w:w="28" w:type="dxa"/>
          <w:bottom w:w="28" w:type="dxa"/>
          <w:right w:w="28" w:type="dxa"/>
        </w:tblCellMar>
      </w:tblPr>
      <w:tblGrid>
        <w:gridCol w:w="1740"/>
        <w:gridCol w:w="1528"/>
        <w:gridCol w:w="1532"/>
        <w:gridCol w:w="360"/>
        <w:gridCol w:w="361"/>
        <w:gridCol w:w="498"/>
        <w:gridCol w:w="200"/>
        <w:gridCol w:w="200"/>
        <w:gridCol w:w="200"/>
        <w:gridCol w:w="360"/>
        <w:gridCol w:w="361"/>
        <w:gridCol w:w="498"/>
        <w:gridCol w:w="109"/>
        <w:gridCol w:w="109"/>
        <w:gridCol w:w="109"/>
        <w:gridCol w:w="218"/>
        <w:gridCol w:w="218"/>
        <w:gridCol w:w="507"/>
        <w:gridCol w:w="109"/>
        <w:gridCol w:w="109"/>
        <w:gridCol w:w="109"/>
        <w:gridCol w:w="109"/>
        <w:gridCol w:w="109"/>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decreased by $6.2 million, or 17%, for the three months ended March 31, 2024, driven by a $3.4 million decrease in compensation expense reflecting our previous cost savings actions, a $2.6 million decrease in variable costs of revenue due to changes in the revenue mix and the decline in revenue year-over-year, and a $0.2 million decrease in content expenses, partially offset by a $1.2 million increase in restructuring expenses.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7196" w:type="dxa"/>
        <w:jc w:val="left"/>
        <w:tblInd w:w="0" w:type="dxa"/>
        <w:tblLayout w:type="fixed"/>
        <w:tblCellMar>
          <w:top w:w="28" w:type="dxa"/>
          <w:left w:w="28" w:type="dxa"/>
          <w:bottom w:w="28" w:type="dxa"/>
          <w:right w:w="28" w:type="dxa"/>
        </w:tblCellMar>
      </w:tblPr>
      <w:tblGrid>
        <w:gridCol w:w="829"/>
        <w:gridCol w:w="730"/>
        <w:gridCol w:w="735"/>
        <w:gridCol w:w="308"/>
        <w:gridCol w:w="308"/>
        <w:gridCol w:w="498"/>
        <w:gridCol w:w="200"/>
        <w:gridCol w:w="200"/>
        <w:gridCol w:w="200"/>
        <w:gridCol w:w="360"/>
        <w:gridCol w:w="361"/>
        <w:gridCol w:w="498"/>
        <w:gridCol w:w="109"/>
        <w:gridCol w:w="109"/>
        <w:gridCol w:w="109"/>
        <w:gridCol w:w="218"/>
        <w:gridCol w:w="218"/>
        <w:gridCol w:w="507"/>
        <w:gridCol w:w="109"/>
        <w:gridCol w:w="109"/>
        <w:gridCol w:w="109"/>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by $2.8 million, or 23%, for the three months ended March 31, 2024, driven by a $3.0 million decrease in compensation and related expenses reflecting our previous cost savings actions and a $1.1 million decrease in travel and entertainment and consulting expenses, partially offset by a $1.5 million increase in restructuring expenses.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316" w:type="dxa"/>
        <w:jc w:val="left"/>
        <w:tblInd w:w="0" w:type="dxa"/>
        <w:tblLayout w:type="fixed"/>
        <w:tblCellMar>
          <w:top w:w="28" w:type="dxa"/>
          <w:left w:w="28" w:type="dxa"/>
          <w:bottom w:w="28" w:type="dxa"/>
          <w:right w:w="28" w:type="dxa"/>
        </w:tblCellMar>
      </w:tblPr>
      <w:tblGrid>
        <w:gridCol w:w="837"/>
        <w:gridCol w:w="735"/>
        <w:gridCol w:w="737"/>
        <w:gridCol w:w="360"/>
        <w:gridCol w:w="361"/>
        <w:gridCol w:w="498"/>
        <w:gridCol w:w="200"/>
        <w:gridCol w:w="200"/>
        <w:gridCol w:w="200"/>
        <w:gridCol w:w="360"/>
        <w:gridCol w:w="361"/>
        <w:gridCol w:w="498"/>
        <w:gridCol w:w="109"/>
        <w:gridCol w:w="109"/>
        <w:gridCol w:w="109"/>
        <w:gridCol w:w="218"/>
        <w:gridCol w:w="218"/>
        <w:gridCol w:w="507"/>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by $5.2 million, or 24%, for the three months ended March 31, 2024, driven by a $1.7 million decrease in rent expense, a $1.0 million decrease in professional fees and consulting expenses, $0.5 million decrease in software expenses, a $0.3 million decrease in compensation expenses reflecting our previous cost savings actions, a $0.3 million decrease in insurance, a $0.2 million decrease in stock-based compensation expense, a $0.2 million increase in sublease income, and a $0.2 million decrease in general facilities’ expenses.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7078" w:type="dxa"/>
        <w:jc w:val="left"/>
        <w:tblInd w:w="0" w:type="dxa"/>
        <w:tblLayout w:type="fixed"/>
        <w:tblCellMar>
          <w:top w:w="28" w:type="dxa"/>
          <w:left w:w="28" w:type="dxa"/>
          <w:bottom w:w="28" w:type="dxa"/>
          <w:right w:w="28" w:type="dxa"/>
        </w:tblCellMar>
      </w:tblPr>
      <w:tblGrid>
        <w:gridCol w:w="837"/>
        <w:gridCol w:w="734"/>
        <w:gridCol w:w="738"/>
        <w:gridCol w:w="308"/>
        <w:gridCol w:w="308"/>
        <w:gridCol w:w="498"/>
        <w:gridCol w:w="200"/>
        <w:gridCol w:w="200"/>
        <w:gridCol w:w="200"/>
        <w:gridCol w:w="308"/>
        <w:gridCol w:w="308"/>
        <w:gridCol w:w="498"/>
        <w:gridCol w:w="109"/>
        <w:gridCol w:w="109"/>
        <w:gridCol w:w="109"/>
        <w:gridCol w:w="204"/>
        <w:gridCol w:w="204"/>
        <w:gridCol w:w="507"/>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remained relatively flat year-over-year.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7363" w:type="dxa"/>
        <w:jc w:val="left"/>
        <w:tblInd w:w="0" w:type="dxa"/>
        <w:tblLayout w:type="fixed"/>
        <w:tblCellMar>
          <w:top w:w="28" w:type="dxa"/>
          <w:left w:w="28" w:type="dxa"/>
          <w:bottom w:w="28" w:type="dxa"/>
          <w:right w:w="28" w:type="dxa"/>
        </w:tblCellMar>
      </w:tblPr>
      <w:tblGrid>
        <w:gridCol w:w="939"/>
        <w:gridCol w:w="826"/>
        <w:gridCol w:w="829"/>
        <w:gridCol w:w="308"/>
        <w:gridCol w:w="308"/>
        <w:gridCol w:w="498"/>
        <w:gridCol w:w="200"/>
        <w:gridCol w:w="200"/>
        <w:gridCol w:w="200"/>
        <w:gridCol w:w="308"/>
        <w:gridCol w:w="308"/>
        <w:gridCol w:w="498"/>
        <w:gridCol w:w="109"/>
        <w:gridCol w:w="109"/>
        <w:gridCol w:w="109"/>
        <w:gridCol w:w="204"/>
        <w:gridCol w:w="204"/>
        <w:gridCol w:w="507"/>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depreciation and amortization expenses increased by $0.2 million, or 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(expense) income, net:</w:t>
      </w:r>
    </w:p>
    <w:tbl>
      <w:tblPr>
        <w:tblW w:w="7060" w:type="dxa"/>
        <w:jc w:val="left"/>
        <w:tblInd w:w="0" w:type="dxa"/>
        <w:tblLayout w:type="fixed"/>
        <w:tblCellMar>
          <w:top w:w="28" w:type="dxa"/>
          <w:left w:w="28" w:type="dxa"/>
          <w:bottom w:w="28" w:type="dxa"/>
          <w:right w:w="28" w:type="dxa"/>
        </w:tblCellMar>
      </w:tblPr>
      <w:tblGrid>
        <w:gridCol w:w="863"/>
        <w:gridCol w:w="760"/>
        <w:gridCol w:w="762"/>
        <w:gridCol w:w="269"/>
        <w:gridCol w:w="271"/>
        <w:gridCol w:w="498"/>
        <w:gridCol w:w="200"/>
        <w:gridCol w:w="200"/>
        <w:gridCol w:w="200"/>
        <w:gridCol w:w="233"/>
        <w:gridCol w:w="233"/>
        <w:gridCol w:w="498"/>
        <w:gridCol w:w="109"/>
        <w:gridCol w:w="109"/>
        <w:gridCol w:w="109"/>
        <w:gridCol w:w="269"/>
        <w:gridCol w:w="271"/>
        <w:gridCol w:w="507"/>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recorded other expense, net of $0.6 million for the three months ended March 31, 2024, compared to other income, net of $0.6 million for the three months ended March 31, 2023. The change of $1.2 million was primarily driven by a $0.9 million decrease in exchange gain (primarily unrealized) as the impact of foreign exchange rate fluctuations stabilized as compared to the year-ago period and a $0.3 million increase in other expense.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7212" w:type="dxa"/>
        <w:jc w:val="left"/>
        <w:tblInd w:w="0" w:type="dxa"/>
        <w:tblLayout w:type="fixed"/>
        <w:tblCellMar>
          <w:top w:w="28" w:type="dxa"/>
          <w:left w:w="28" w:type="dxa"/>
          <w:bottom w:w="28" w:type="dxa"/>
          <w:right w:w="28" w:type="dxa"/>
        </w:tblCellMar>
      </w:tblPr>
      <w:tblGrid>
        <w:gridCol w:w="831"/>
        <w:gridCol w:w="730"/>
        <w:gridCol w:w="734"/>
        <w:gridCol w:w="344"/>
        <w:gridCol w:w="346"/>
        <w:gridCol w:w="498"/>
        <w:gridCol w:w="200"/>
        <w:gridCol w:w="200"/>
        <w:gridCol w:w="200"/>
        <w:gridCol w:w="344"/>
        <w:gridCol w:w="346"/>
        <w:gridCol w:w="498"/>
        <w:gridCol w:w="109"/>
        <w:gridCol w:w="109"/>
        <w:gridCol w:w="109"/>
        <w:gridCol w:w="204"/>
        <w:gridCol w:w="204"/>
        <w:gridCol w:w="507"/>
        <w:gridCol w:w="109"/>
        <w:gridCol w:w="109"/>
        <w:gridCol w:w="109"/>
        <w:gridCol w:w="109"/>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increased by $0.7 million, or 18%, for the three months ended March 31, 2024.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liabilities:</w:t>
      </w:r>
    </w:p>
    <w:tbl>
      <w:tblPr>
        <w:tblW w:w="7991" w:type="dxa"/>
        <w:jc w:val="left"/>
        <w:tblInd w:w="0" w:type="dxa"/>
        <w:tblLayout w:type="fixed"/>
        <w:tblCellMar>
          <w:top w:w="28" w:type="dxa"/>
          <w:left w:w="28" w:type="dxa"/>
          <w:bottom w:w="28" w:type="dxa"/>
          <w:right w:w="28" w:type="dxa"/>
        </w:tblCellMar>
      </w:tblPr>
      <w:tblGrid>
        <w:gridCol w:w="1248"/>
        <w:gridCol w:w="1099"/>
        <w:gridCol w:w="1103"/>
        <w:gridCol w:w="218"/>
        <w:gridCol w:w="218"/>
        <w:gridCol w:w="498"/>
        <w:gridCol w:w="200"/>
        <w:gridCol w:w="200"/>
        <w:gridCol w:w="200"/>
        <w:gridCol w:w="269"/>
        <w:gridCol w:w="271"/>
        <w:gridCol w:w="498"/>
        <w:gridCol w:w="109"/>
        <w:gridCol w:w="109"/>
        <w:gridCol w:w="109"/>
        <w:gridCol w:w="218"/>
        <w:gridCol w:w="218"/>
        <w:gridCol w:w="507"/>
        <w:gridCol w:w="109"/>
        <w:gridCol w:w="109"/>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we recorded a loss of $nil on the change in fair value of warrant liabilities.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 liability:</w:t>
      </w:r>
    </w:p>
    <w:tbl>
      <w:tblPr>
        <w:tblW w:w="8388" w:type="dxa"/>
        <w:jc w:val="left"/>
        <w:tblInd w:w="0" w:type="dxa"/>
        <w:tblLayout w:type="fixed"/>
        <w:tblCellMar>
          <w:top w:w="28" w:type="dxa"/>
          <w:left w:w="28" w:type="dxa"/>
          <w:bottom w:w="28" w:type="dxa"/>
          <w:right w:w="28" w:type="dxa"/>
        </w:tblCellMar>
      </w:tblPr>
      <w:tblGrid>
        <w:gridCol w:w="1285"/>
        <w:gridCol w:w="1131"/>
        <w:gridCol w:w="1138"/>
        <w:gridCol w:w="203"/>
        <w:gridCol w:w="203"/>
        <w:gridCol w:w="498"/>
        <w:gridCol w:w="200"/>
        <w:gridCol w:w="200"/>
        <w:gridCol w:w="200"/>
        <w:gridCol w:w="344"/>
        <w:gridCol w:w="346"/>
        <w:gridCol w:w="498"/>
        <w:gridCol w:w="109"/>
        <w:gridCol w:w="109"/>
        <w:gridCol w:w="109"/>
        <w:gridCol w:w="269"/>
        <w:gridCol w:w="271"/>
        <w:gridCol w:w="576"/>
        <w:gridCol w:w="109"/>
        <w:gridCol w:w="109"/>
        <w:gridCol w:w="109"/>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loss of $1.0 million on the change in fair value of derivative liability for the three months ended March 31, 2023, with no comparable loss in the current three month period.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tbl>
      <w:tblPr>
        <w:tblW w:w="6822" w:type="dxa"/>
        <w:jc w:val="left"/>
        <w:tblInd w:w="0" w:type="dxa"/>
        <w:tblLayout w:type="fixed"/>
        <w:tblCellMar>
          <w:top w:w="28" w:type="dxa"/>
          <w:left w:w="28" w:type="dxa"/>
          <w:bottom w:w="28" w:type="dxa"/>
          <w:right w:w="28" w:type="dxa"/>
        </w:tblCellMar>
      </w:tblPr>
      <w:tblGrid>
        <w:gridCol w:w="830"/>
        <w:gridCol w:w="731"/>
        <w:gridCol w:w="734"/>
        <w:gridCol w:w="233"/>
        <w:gridCol w:w="233"/>
        <w:gridCol w:w="498"/>
        <w:gridCol w:w="200"/>
        <w:gridCol w:w="200"/>
        <w:gridCol w:w="200"/>
        <w:gridCol w:w="233"/>
        <w:gridCol w:w="233"/>
        <w:gridCol w:w="498"/>
        <w:gridCol w:w="109"/>
        <w:gridCol w:w="109"/>
        <w:gridCol w:w="109"/>
        <w:gridCol w:w="233"/>
        <w:gridCol w:w="233"/>
        <w:gridCol w:w="507"/>
        <w:gridCol w:w="109"/>
        <w:gridCol w:w="109"/>
        <w:gridCol w:w="109"/>
        <w:gridCol w:w="109"/>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the Company’s effective tax rate on continuing operations differed from the U.S. federal statutory income tax rate of 21% primarily due to (i) limited tax benefits provided for against its current year pre-tax operating loss, as the Company maintains a full valuation allowance against its U.S. deferred tax assets that are not realizable on a more-likely-than-not basis, and (ii) permanent adjustments and state taxes related to the Disposition.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from discontinued operations, net of tax:</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net loss from discontinued operations, net of tax increased by $2.3 million, or 34%. The increase was primarily due to a $4.9 million loss on partial debt extinguishment, partially offset by a $2.2 million improvement in loss from discontinued operations and a $0.9 million final gain on remeasurement of classification to held for sale. The results for the three months ended March 31, 2024 includes activity only from January 1, 2024 through the date of Disposition (i.e., February 21,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and represents a key metric used by management and the our board of directors to measure the operational strength and performance of our business, to establish budgets, and to develop operational goals for managing our business. We define Adjusted EBITDA as net loss from continuing operations, excluding the impact of net loss attributable to noncontrolling interests, income tax provision, interest expense, net, other expense (income), net, depreciation and amortization, stock-based compensation, change in fair value of warrant liabilities, change in fair value of derivative liability, restructuring costs, and other non-cash and non-recurring items that management believes are not indicative of ongoing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should not be considered a substitute for loss from continuing operations, net loss, or net loss attributable to BuzzFeed, Inc. that we have reported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Reconciliation from Net loss from continuing operations to Adjusted EBITDA</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consolidated net loss from continuing operations to Adjusted EBITDA for the periods presented:</w:t>
      </w:r>
    </w:p>
    <w:tbl>
      <w:tblPr>
        <w:tblW w:w="6595" w:type="dxa"/>
        <w:jc w:val="left"/>
        <w:tblInd w:w="0" w:type="dxa"/>
        <w:tblLayout w:type="fixed"/>
        <w:tblCellMar>
          <w:top w:w="28" w:type="dxa"/>
          <w:left w:w="28" w:type="dxa"/>
          <w:bottom w:w="28" w:type="dxa"/>
          <w:right w:w="28" w:type="dxa"/>
        </w:tblCellMar>
      </w:tblPr>
      <w:tblGrid>
        <w:gridCol w:w="1288"/>
        <w:gridCol w:w="1132"/>
        <w:gridCol w:w="1135"/>
        <w:gridCol w:w="211"/>
        <w:gridCol w:w="796"/>
        <w:gridCol w:w="109"/>
        <w:gridCol w:w="109"/>
        <w:gridCol w:w="109"/>
        <w:gridCol w:w="109"/>
        <w:gridCol w:w="211"/>
        <w:gridCol w:w="796"/>
        <w:gridCol w:w="109"/>
        <w:gridCol w:w="109"/>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231F20"/>
          <w:sz w:val="20"/>
          <w:shd w:fill="FFFFFF" w:val="clear"/>
        </w:rPr>
        <w:t xml:space="preserve">Refer to elsewhere above in Item 2. “Management’s Discussion and Analysis of Financial Condition and Results of Operations” herein for a discussion of the distinct restructuring activity during the three months ended March 31, 2024. </w:t>
      </w:r>
      <w:r>
        <w:rPr>
          <w:rFonts w:ascii="Times New Roman;sans-serif" w:hAnsi="Times New Roman;sans-serif"/>
          <w:b w:val="false"/>
          <w:color w:val="231F20"/>
          <w:sz w:val="20"/>
        </w:rPr>
        <w:t>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our cash and cash equivalents and cash generated from continuing operations. Our cash and cash equivalents consist of demand deposits with financial institutions and investments in money market funds. </w:t>
      </w:r>
    </w:p>
    <w:p>
      <w:pPr>
        <w:pStyle w:val="TextBody"/>
        <w:bidi w:val="0"/>
        <w:spacing w:lineRule="auto" w:line="26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 in accordance with U.S. GAAP. The presence of the following risks and uncertainties associated with our financial condition may adversely affect our ability to sustain our operations over the next 12 months beyond the issuance date.</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generally incurred significant losses and used net cash flows from operations to grow our owned and operated properties and our iconic brands. During the three months ended March 31, 2024, the Company incurred a net loss of $35.8 million (and a net loss of $26.6 million from continuing operations) and used net cash flows from its operations of $13.3 million (and net cash used in operating activities from continuing operations was $5.3 million). Additionally, as of March 31, 2024, the Company had unrestricted cash and cash equivalents of $44.5 million to fund its operations and an accumulated deficit of $647.5 million.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8 to the condensed consolidated financial statements included elsewhere within this Quarterly Report on Form 10-Q, we repaid approximately $30.9 million of the Notes on March 7, 2024, leaving approximately $119.1 million aggregate principal amount of Notes outstanding as of March 31, 2024. As described in Note 8 to the condensed consolidated financial statements included elsewhere within this Quarterly Report on Form 10-Q, each holder of a Note has the right under the indenture governing the Notes to require us to repurchase, for cash, all or a portion of the Notes held by such holder (i) at any time on or after December 3, 2024,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Moreover, we will be required to repay the Notes, in cash, at their maturity, unless earlier converted, redeemed, or repurchased. In the event some or all of the holders of the Notes exercise their call rights, we currently do not have sufficient cash on hand or projected cash flows to fund the potential call. Our failure to comply with the provisions of the indenture governing the Notes, including our failure to repurchase the Notes, as required by the indenture, could trigger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event of default under the indenture, which would allow the holders of Notes to accelerate the maturity of the Notes and require us to repay the Notes prior to their maturity. In addition, on February 28, 2024, we amended the indenture governing the Notes to provide that, among other things, 95% of the net proceeds of future asset sales must be used to repay the Notes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14 to the condensed consolidated financial statements included elsewhere within this Quarterly Report on Form 10-Q, our Class A common stock experienced a significant decline whereby the trading price remained below $1.00 per share for a sustained period during 2023. As a result, we received a letter from Nasdaq on May 31, 2023 notifying us that, for the previous 30 consecutive business days, the bid price for our Class A common stock had closed below the minimum $1.00 per share requirement for continued listing on The Nasdaq Global Market (the “Bid Price Requirement”) and that we had until November 28, 2023 in order to regain compliance. After receiving an extension from Nasdaq on November 28, 2023, we now have until May 28, 2024 in order to regain compliance with Nasdaq’s Bid Price Requirement. While, as described in Note 2 to the condensed consolidated financial statements included elsewhere within this Quarterly Report on Form 10-Q, we effected a reverse stock split of the Class A common stock at a ratio of a ratio of one-for-four (1-for-4), effective as of 12:01 a.m., Eastern Time, on May 6, 2024, and the closing bid price for the our Class A common stock has exceeded $1.00 per share since that date, we have not yet regained compliance with the Bid Price Requirement, as there has not been 10 business days since the effective date of the Reverse Stock Split. Further, as also described in Note 14 to the condensed consolidated financial statements included elsewhere within this Quarterly Report on Form 10-Q, following our 2024 annual meeting of stockholders, we are not in compliance with Nasdaq Listing Rule 5605(c)(2)(A), which requires that the audit committees of listed companies have a minimum of three members that satisfy certain criteria for service on the committee (the “Nasdaq Audit Committee Requirement”). We have until the earlier of our 2025 annual meeting of stockholders and April 25, 2025 to regain compliance. If we are not in compliance with the Nasdaq Audit Committee Requirement by that date, then our Class A common stock will be subject to delisting. If we are not able to regain compliance with either the Bid Price Requirement or the Nasdaq Audit Committee Requirement, and, as such, our Class A common stock is delisted from Nasdaq, we will be faced with a number of significant material adverse consequences, including: limited availability of market quotations for our Class A common stock; limited news and analyst coverage; decreased ability to obtain additional financing or failure to comply with the covenants required by the Notes; limited liquidity for our stockholders due to thin trading; and a potential loss of confidence by investors, employees and other third parties who do business with us. In particular, under the indenture governing the Notes, the failure of our Class A common stock to remain listed would constitute a “fundamental change” which would require us to offer to repurchase the remaining outstanding Notes, for cash, at a price equal to 101% of the principal amount plus accrued and unpaid interest. As of the issuance date, we do not have available liquidity to repurchase the Notes upon a fundamental change. Our failure to repurchase the Notes as required by the indenture would constitute an event of default under the indenture.</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our capital needs, we may explore options to restructure our outstanding debt, and we are working with advisors to optimize our condensed consolidated balance sheet. However, we can provide no assurance that we will generate sufficient cash inflows from operations, or that we will be successful in obtaining such new financing, or in optimizing our condensed consolidated balance sheet in a manner necessary to fund our obligations as they become due over the next 12 months beyond the issuance date. Additionally, we may implement incremental cost savings actions and pursue additional sources of outside capital to supplement our funding obligations as they become due, which may include additional offerings of our Class A common stock under the at-the-market offering (refer to Note 9 to the condensed consolidated financial statements included elsewhere within this Quarterly Report on Form 10-Q for additional details). As of the issuance date, no additional sources of outside capital have been secured or were deemed probable of being secured, other than our at-the-market-offering, which is subject to the conditions contained in the At-The-Market Offering agreement dated June 20, 2023 with Craig-Hallum Capital Group LLC. We can provide no assurance we will successfully generate sufficient liquidity to fund our operations for the next 12 months beyond the issuance date, or if necessary, secure additional outside capital (including through our at-the-market-offering) or implement incremental cost savings.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on an ongoing basis, we are evaluating strategic changes to our operations, including asset divestitures, restructuring,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As of the issuance date, we continue to work with our external advisors to optimize our condensed consolidated balance sheet and evaluate our assets.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course of business for the foreseeable future. Accordingly, the accompanying condensed consolidated financial statements do not include any adjustments that may result from the outcome of these uncertainties.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2020, the Company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the Company’s landlords. The Company had outstanding letters of credit of $15.5 million under the Revolving Credit Facility at both March 31, 2024 and December 31, 2023.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in connection with the Disposition, the Company terminated the Revolving Credit Facility, except for the $15.5 million in letters of credit outstanding, which were cash collateralized in the amount of $17.1 million and resulted in restricted cash classification on the condensed consolidated balance sheet. The letters of credit bear interest at a rate equal to the Secured Financing Overnight Rate (SOFR) Index, plus a margin of 3.75% on the undrawn amount of letters of credit (the implied interest rate was 9% as of March 31, 2024). Refer to Notes 8 and 19 to the condensed consolidated financial statements included elsewhere within this Quarterly Report on Form 10-Q for further details on this termination.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Convertible Notes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in connection with the entry into the merger agreement pursuant to which the Business Combination was consummated, we entered into subscription agreements with certain investors to sell $150.0 million aggregate principal amount of unsecured convertible notes due 2026 (i.e., the Notes). In connection with the closing of the Business Combination, we issued, and those investors purchased, the Notes. The Notes are convertible into shares of our Class A common stock at a conversion price of approximately $50.00 and bear interest at a rate of 8.50% per annum, payable semi-annually. The Notes mature on December 3, 2026. As of March 31, 2024, the Notes were convertible into approximately 2,382,007 shares of our Class A common stock.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prior to December 3, 2024, we will be obligated to pay an amount in cash equal to 12 month’s interest declining ratably on a monthly basis to zero month’s interest, in each case, on the aggregate principal amount of Notes so converted. Without limiting a holder’s right to convert the Notes at its option, interest will cease to accrue on the Notes during any period in which we would otherwise be entitled to force conversion of the Notes, but are not permitted to do so solely due to the failure of a trading volume condition specified in the indenture governing the Notes.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a Note has the right under the indenture governing the Notes to require us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In addition, a failure to comply with the provisions of the indenture governing our Notes could trigger an event of default under the indenture, which would allow the holders of the Notes to accelerate the maturity of the Notes and require us to repay the Notes prior to their maturity. Moreover, we will be required to repay the Notes, in cash, at their maturity, unless earlier converted, redeemed, or repurchased. We may not have enough available cash or be able to obtain financing at the time we are required to make repurchases of such Notes surrendered or pay cash with respect to such Notes being converted.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governing the Notes includes restrictive covenants that, among other things, limit our ability to incur additional debt or liens, make restricted payments or investments, dispose of significant assets, transfer specified intellectual property, or enter into transactions with affiliates. Additionally, on February 28, 2024, the indenture governing the Notes was amended to, among other things, provide that 95% of the net proceeds of future asset sales must be used to repay the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repaid approximately $30.9 million of the Notes on March 7, 2024, leaving approximately $119.1 million aggregate principal amount of Notes outstanding as of March 31, 2024. Refer to Note 8 to the condensed consolidated financial statements included elsewhere within this Quarterly Report on Form 10-Q for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(used in) provided by operating, investing and financing activities from continuing operations were as follows for the periods presented:</w:t>
      </w:r>
    </w:p>
    <w:tbl>
      <w:tblPr>
        <w:tblW w:w="8634" w:type="dxa"/>
        <w:jc w:val="left"/>
        <w:tblInd w:w="0" w:type="dxa"/>
        <w:tblLayout w:type="fixed"/>
        <w:tblCellMar>
          <w:top w:w="28" w:type="dxa"/>
          <w:left w:w="28" w:type="dxa"/>
          <w:bottom w:w="28" w:type="dxa"/>
          <w:right w:w="28" w:type="dxa"/>
        </w:tblCellMar>
      </w:tblPr>
      <w:tblGrid>
        <w:gridCol w:w="2245"/>
        <w:gridCol w:w="1972"/>
        <w:gridCol w:w="1978"/>
        <w:gridCol w:w="222"/>
        <w:gridCol w:w="728"/>
        <w:gridCol w:w="114"/>
        <w:gridCol w:w="114"/>
        <w:gridCol w:w="114"/>
        <w:gridCol w:w="114"/>
        <w:gridCol w:w="222"/>
        <w:gridCol w:w="649"/>
        <w:gridCol w:w="162"/>
      </w:tblGrid>
      <w:tr>
        <w:trPr/>
        <w:tc>
          <w:tcPr>
            <w:tcW w:w="224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provided by operating activities from continuing operations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from continuing operations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At-The-Market-Offering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may, from time to time, sell up to 3,316,503 shares of our Class A common stock. As of March 31, 2024, we sold, in the aggregate, 517,385 shares of our Class A common stock, at an average price of $2.08 per share, for aggregate net proceeds of $0.9 million after deducting commissions and offering expenses. We used the aggregate net proceeds for general corporate purposes, and we have 2,799,118 remaining shares available under the At-The-Market-Offering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cash used in operating activities from continuing operations was $5.3 million compared to cash provided by operating activities from continuing operations of $3.3 million for the three months ended March 31, 2023. The change was primarily driven by a $2.2 million improvement in net loss, adjusted for non-cash items, a $18.8 million increase in the change in accrued compensation, a $8.5 million increase in the change in accrued expenses, other current liabilities and other liabilities, and a $2.9 million increase in the change in deferred revenue. These were partially offset by a $23.0 million decrease in the change in accounts payable, a $17.7 million decrease in the change in accounts receivable, and a $0.9 million increase in the change in prepaid expenses and other current assets and prepaid expenses and other assets.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For the three months ended March 31, 2024, cash used in investing activities from continuing operations was $3.4 million, which consisted of $3.3 million of capital expenditures on internal-use software and $0.1 million of other capital expenditures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For the three months ended March 31, 2024, net cash provided by investing activities from discontinued operations was $108.6 million, which represents the cash received for the sale of certain assets relating to the business of Complex Networks (i.e., the Disposition) and is non-recurring in nature.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cash used in investing activities from continuing operations was $4.2 million, which consisted of $4.0 million of capital expenditures on internal-use software and $0.4 million of other capital expenditures, partially offset by a $0.2 million gain on the sale of an asset.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For the three months ended March 31, 2024, cash used in financing activities was $65.8 million,</w:t>
      </w:r>
      <w:r>
        <w:rPr>
          <w:color w:val="000000"/>
        </w:rPr>
        <w:t xml:space="preserve"> </w:t>
      </w:r>
      <w:r>
        <w:rPr>
          <w:rFonts w:ascii="Times New Roman;sans-serif" w:hAnsi="Times New Roman;sans-serif"/>
          <w:b w:val="false"/>
          <w:color w:val="000000"/>
          <w:sz w:val="20"/>
        </w:rPr>
        <w:t xml:space="preserve">which consisted of a $33.8 million full repayment of the Revolving Credit Facility, a $30.9 million partial repayment on the Notes, a $0.6 million payment of deferred issuance costs, and a $0.5 million early termination payment for the Revolving Credit Facility.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cash used in financing activities was $1.5 million, which consisted of $1.3 million repayment on the Revolving Credit Facility and $0.2 million payment for withholding taxes on the vesting of certain restricted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consist of obligations for repayment of borrowings under the Notes obligations for office space under non-cancelable operating leases with various expiration dates through 2029. Refer to Notes 8 and 13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and related notes in accordance with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Refer to “Management’s Discussion and Analysis of Financial Condition and Results of Operations” contained in Part II, Item 7 of our Annual Report on Form 10-K for the fiscal year ended December 31, 2023 for a more complete discussion of our critical accounting policies and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Adopted and Issued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2 to the condensed consolidated financial statements included elsewhere within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both within the U.S. and internationally, and we are exposed to market risks in the ordinary course of our business. These risks include primarily foreign currency exchange, interest rate fluctuation and equity investment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transact business in various foreign currencies and obtain international revenue, as well as incur costs denominated in foreign currencies — primarily the British pound, Japanese yen,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interest rates relates primarily to the variable interest component on the Revolving Credit Facility (with respect to the $15.5 million letters of credit) as well as interest earned and market value on money market funds included in our cash and cash equivalents. The effect of a hypothetical 10% change in interest rates applicable to our business would not have a material impact on our condensed consolidated financial statements for the three months ended March 31, 2024 or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Investment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as of both March 31, 2024 and December 31, 2023. Refer to Note 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reports under the Securities Exchange Act of 1934, as amended (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audit of our consolidated financial statements as of, and for the year ended, December 31, 2023, 2022 and 2021, we identified material weaknesses in our internal control over financial reporting, which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in our internal control over financial reporting related to: (i) a lack of formalized internal controls and segregation of duties surrounding our financial statement close process, and (ii) a lack of formalized information technology (“IT”) general controls in the area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management and logical security controls over financial IT systems. The remediation of these deficiencies has required, and will continue to require, a significant amount of time and resources from management and other personnel.</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 A Lack of Formalized Internal Controls and Segregation of Duties Surrounding our Financial Statement Close Process: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and continuing into 2024, with the oversight of the audit committee of our board of directors, we began implementing remediation plans and enhanced controls within the financial statement close process, including documentation improvements for certain higher risk and material balance sheet reconciliation schedules and supporting financial calculations and analyses. However, certain business process controls were not designed, or did not operate at the appropriate level of precision, to prevent or detect a material misstatement, and conflicts with respect to segregation of duties were identified across our end-to-end financial statement close process. Our management will continue to implement remediation plans to define control procedures, enhance documentation, and enforce segregation of duties to ensure controls are adequately designed and operate sufficiently including, but not limited to: enhancing certain higher risk balance sheet reconciliation schedules, completeness and accuracy, and related review procedures; enhancing review procedures with respect to financial results and supporting financial calculations; designing processes and controls to adequately segregate job responsibilities; redesigning workflow approval routing and security permissions; and reducing reliance on manual controls. </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(ii) A Lack of Formalized Information Technology General Controls in the Area of Change Management and Logical Security Controls Over Financial Information Technology Systems: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and continuing into 2024, our management began implementing remediation plans to address certain control deficiencies around system development and change management and IT security, including formalizing the processes and controls around security administration and implementing user access reviews for certain key financial systems. However, we did not have sufficient resources with technical expertise to centralize certain IT functions and to provide adequate IT oversight over financial systems.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intends to revisit its IT sustainment plan to further support and provide appropriate oversight over key financial systems, and intends to implement remediation plans, including, but not limited to: centralizing the change management and security administration function; implementing policies and procedures with respect to change management, system development, and application-level security; documenting test procedures and approvals relating to changes made to production; maintaining separate development, test, and production environments; formalizing controls around security administration; and implementing real-time monitoring.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2024 and will make the changes we determine to be appropriate.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March 31, 2024, the period covered in this report, our disclosure controls and procedures were not effective.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(as such term is defined in Rules 13a-15(f) and 15d-15(f) of the Exchange Act) during the quarter ended March 31, 2024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 </w:t>
      </w:r>
    </w:p>
    <w:p>
      <w:pPr>
        <w:pStyle w:val="TextBody"/>
        <w:bidi w:val="0"/>
        <w:spacing w:lineRule="auto" w:line="276"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Video Privacy Protection Act</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a lawsuit titled Hunthausen v. BuzzFeed, Inc. was filed against us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The matter was settled on January 4, 2024 and is now disposed.</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we received 8,927 individual demands for JAMS arbitration in California, all of which allege that we violated the VPPA by transmitting personally identifying information via the Meta pixel, purportedly connected to posts on the BuzzFeed website. Each claimant was seeking to recover damages in the amount of $2,500 (actual dollars) for each alleged violation of the VPPA. We provisionally settled these claims on January 29, 2024.</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15, 2023, we received (1) 5,247 individual demands for JAMS arbitration in California, all of which allege that we violated the VPPA by transmitting personally identifying information via the use of various pixels purportedly in connection with the HuffPost.com website; and (2) 12,176 individual demands for JAMS arbitration in California, all of which allege that we violated the VPPA by transmitting personal identifying information via the use of various pixels purportedly in connection with the BuzzFeed.com website. Each claimant was seeking to recover damages in the amount of $2,500 (actual dollars) for each alleged violation of the VPPA, as well as punitive damages, attorneys’ fees and costs, and equitable relief. We provisionally settled these claims on January 16, 2024.</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2023, we received 590 individual demands for JAMS arbitration in California, all of which allege that we violated the VPPA by transmitting personally identifying information via the use of various pixels purportedly in connection with the BuzzFeed.com website. Each claimant was seeking to recover damages in the amount of $2,500 (actual dollars) for each alleged violation of the VPPA. We provisionally settled these claims on January 29, 2024.</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Mass Arbitrations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Two mass arbitrations (the “Arbitrations”) were initiated before the American Arbitration Association on March 15, 2022 against us and certain of our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21, 2022, the BuzzFeed Defendants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Claimants filed amended statements of claim in the Arbitrations against BuzzFeed Media Enterprises, Inc., our wholly-owned subsidiary, and Continental Stock Transfer &amp; Trust Corporation, the transfer agent for 890 and, later, our transfer agent.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BuzzFeed Media Enterprises, Inc., filed a complaint in the Delaware Court of Chancery seeking to enjoin the Arbitrations on the grounds that, inter alia, the Claimants’ purported causes of action arise from their rights as the Company’s shareholders, are governed by our charter, including its forum selection provision, and are therefore not arbitrable. The complaint seeks declaratory and injunctive relief. The parties cross-moved for summary judgment.</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20, 2023, the Court of Chancery heard oral arguments on our motion for summary judgment and the Claimants’ cross-motion to dismiss the Company’s complaint. The arbitrations are stayed until the Court resolves the motions on the merits. The decision of the Court is pending.</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California Invasion of Privacy Act</w:t>
      </w:r>
    </w:p>
    <w:p>
      <w:pPr>
        <w:pStyle w:val="TextBody"/>
        <w:bidi w:val="0"/>
        <w:spacing w:lineRule="auto" w:line="276" w:before="240" w:after="283"/>
        <w:ind w:left="0" w:right="0" w:firstLine="720"/>
        <w:jc w:val="both"/>
        <w:rPr/>
      </w:pPr>
      <w:r>
        <w:rPr>
          <w:rFonts w:ascii="Times New Roman;sans-serif" w:hAnsi="Times New Roman;sans-serif"/>
          <w:b w:val="false"/>
          <w:color w:val="000000"/>
          <w:sz w:val="20"/>
        </w:rPr>
        <w:t xml:space="preserve">On April 11, 2024, a lawsuit titled Chih-Yuan Chang </w:t>
      </w:r>
      <w:r>
        <w:rPr>
          <w:rFonts w:ascii="Times New Roman;sans-serif" w:hAnsi="Times New Roman;sans-serif"/>
          <w:b w:val="false"/>
          <w:i/>
          <w:color w:val="000000"/>
          <w:sz w:val="20"/>
        </w:rPr>
        <w:t>et al.</w:t>
      </w:r>
      <w:r>
        <w:rPr>
          <w:color w:val="000000"/>
        </w:rPr>
        <w:t xml:space="preserve"> </w:t>
      </w:r>
      <w:r>
        <w:rPr>
          <w:rFonts w:ascii="Times New Roman;sans-serif" w:hAnsi="Times New Roman;sans-serif"/>
          <w:b w:val="false"/>
          <w:color w:val="000000"/>
          <w:sz w:val="20"/>
        </w:rPr>
        <w:t xml:space="preserve">v. BuzzFeed, Inc. was filed against us in the Southern District of New York, alleging that we, by causing the Sharethrough, IQM, and Dotomi trackers to be installed on website visitors’ internet browsers, are collecting visitors’ personal identifying information without their consent, in violation of the California Invasion of Privacy Act (CIPA). Plaintiff, additionally, seeks class certification. We plan to move to dismiss the claims.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regarding other legal proceedings in which we are involved, refer to Note 14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about our existing risk factors is set forth in Item 1A, “Risk Factors,” in our Annual Report on Form 10-K for the fiscal year ended December 31, 2023. Other than as described below, our risk factors have not changed materially since December 31,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currently not in compliance with the Nasdaq’s continued listing requirements. If we are unable to regain compliance with Nasdaq’s listing requirements, our securities could be delisted, which could affect our securities’ market price and liquidity.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Patrick Kerins, then a member of the Company’s board of directors and its audit committee, notified the Company that he did not intend to stand for re-election as a director of the Company at its 2024 annual meeting of stockholders. The Company then promptly notified the Listing Qualifications Department (the “Staff”) of The Nasdaq Stock Market LLC (“Nasdaq”) that, as a consequence of Mr. Kerins’ failure to seek re-election, following the 2024 annual meeting, the audit committee of the Company’s board of directors would consist of two members and, as such, that the Company would no longer be in compliance with Nasdaq Listing Rule 5605(c)(2)(A), which requires that the audit committees of listed companies have a minimum of three members that satisfy certain criteria for service on the committee (i.e., the Nasdaq Audit Committee Requirement). On April 26, 2024, as expected, the Company received a letter from the Staff notifying the Company that the Company was no longer in compliance with the Nasdaq Audit Committee Requirement.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until the earlier of its 2025 annual meeting of stockholders and April 25, 2025 (i.e., one year from the date on which the Company ceased to be compliant) to regain compliance. If the Company is not in compliance with the Nasdaq Audit Committee Requirement by that date, then the Staff will provide written notification to the Company that its Class A common stock will be subject to delisting. At that time, the Company may appeal the Staff’s delisting determination to the Nasdaq Listing Qualifications Panel. However, there can be no assurance that, if the Company receives a delisting notice and appeals the delisting determination, such an appeal would be successful. The Company intends to appoint a third member to the audit committee of the Company’s board of directors prior to the expiration of the cure period in order to regain compliance with the Nasdaq Audit Committee Requirement.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delisting of our Class A common stock from Nasdaq would materially reduce the liquidity of our Class A common stock and result in a corresponding material reduction in the price of our Class A common stock. Any such event could make it more difficult to dispose of, or obtain accurate quotations for the price of, our Class A stock. It could also lead to the failure of our securities to be covered by securities analysts or the reduction in our coverage by the news media, which could cause the price of our Class A common stock to decline further. In addition, delisting could harm our ability to raise capital through alternative financing sources on terms acceptable to us, or at all, and may result in the potential loss of confidence by investors, customers, business partners and employees and fewer business development opportunities. Further, under the indenture governing the Notes, the failure of our Class A common stock to be listed on any national securities exchange or quoted on Nasdaq would constitute a fundamental change, giving the holders of the Notes the right to require us to repurchase, for cash, all or a portion of their Notes at a repurchase price equal to 101% of the principal amount plus accrued and unpaid interest.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audit committee of the Company’s board of directors consists of only two members, which may limit the committee’s ability to fulfill its oversight duties effectively.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of the Company’s board of directors consists of only two members. In addition to the risks attendant in the Company’s failure to comply with the Nasdaq Audit Committee Requirement, having a two-person audit committee may limit the committee’s ability to fulfill its oversight duties effectively. A small audit committee may struggle to provide adequate oversight of financial reporting processes, internal controls, and risk management activities. This could lead to gaps in monitoring and potential control weaknesses. The workload for each member of a two-person audit committee can be significantly higher compared to a larger committee, which may lead to difficulties in fulfilling all necessary responsibilities and increase the risk of oversight or errors. In a two-person audit committee, succession planning and continuity become critical issues. Changes in membership, such as resignations or retirements, can have a significant impact on the committee’s effectiveness and institutional knowledge. Overall, the Company’s small audit committee could weaken the Company’s financial governance structure and increase its exposure to financial risks, potentially impacting its reputation or financial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74"/>
        <w:gridCol w:w="2633"/>
        <w:gridCol w:w="376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Agreement and Plan of Merger, dated as of June 24, 2021, by and among 890 5th Avenue Partners, Inc., Bolt Merger Sub I, Inc., Bolt Merger Sub II, Inc., and BuzzFeed, Inc.(incorporated by reference to Exhibit 2.1 to the Company’s Current Report on Form 8-K filed on June 24,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"https://www.sec.gov/Archives/edgar/data/1828972/000110465921136139/tm2122219-17_s4a.htm" \l "tANNA1"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Amendment No. 1 to Agreement and Plan of Merger, dated as of October 28, 2021, by and among 890 5th Avenue Partners, Inc., Bolt Merger Sub I, Inc., Bolt Merger Sub II, Inc., and BuzzFeed, Inc.</w:t>
            </w:r>
            <w:r>
              <w:rPr>
                <w:rStyle w:val="InternetLink"/>
                <w:sz w:val="20"/>
                <w:u w:val="single"/>
                <w:b w:val="false"/>
                <w:rFonts w:ascii="Times New Roman;sans-serif" w:hAnsi="Times New Roman;sans-serif"/>
                <w:color w:val="0000FF"/>
              </w:rPr>
              <w:fldChar w:fldCharType="end"/>
            </w:r>
            <w:r>
              <w:rPr>
                <w:color w:val="000000"/>
              </w:rPr>
              <w:t xml:space="preserve"> </w:t>
            </w:r>
            <w:hyperlink r:id="rId3">
              <w:r>
                <w:rPr>
                  <w:rStyle w:val="InternetLink"/>
                  <w:rFonts w:ascii="Times New Roman;sans-serif" w:hAnsi="Times New Roman;sans-serif"/>
                  <w:b w:val="false"/>
                  <w:color w:val="0000FF"/>
                  <w:sz w:val="20"/>
                  <w:u w:val="single"/>
                </w:rPr>
                <w:t>(incorporated by reference to Exhibit 2.2 to the Company’s Registration Statement on Form S-4/A filed on October 29,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2"/>
        <w:gridCol w:w="179"/>
        <w:gridCol w:w="161"/>
        <w:gridCol w:w="109"/>
        <w:gridCol w:w="109"/>
        <w:gridCol w:w="109"/>
        <w:gridCol w:w="2813"/>
        <w:gridCol w:w="2689"/>
        <w:gridCol w:w="3804"/>
      </w:tblGrid>
      <w:tr>
        <w:trPr/>
        <w:tc>
          <w:tcPr>
            <w:tcW w:w="2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Membership Interest Purchase Agreement, dated as of March 27, 2021, by and among BuzzFeed, Inc., CM Partners, LLC, Complex Media, Inc., Verizon CMP Holdings LLC and HDS II, Inc.</w:t>
              </w:r>
            </w:hyperlink>
            <w:r>
              <w:rPr>
                <w:color w:val="000000"/>
              </w:rPr>
              <w:t xml:space="preserve"> </w:t>
            </w:r>
            <w:hyperlink r:id="rId5">
              <w:r>
                <w:rPr>
                  <w:rStyle w:val="InternetLink"/>
                  <w:rFonts w:ascii="Times New Roman;sans-serif" w:hAnsi="Times New Roman;sans-serif"/>
                  <w:b w:val="false"/>
                  <w:color w:val="0000FF"/>
                  <w:sz w:val="20"/>
                  <w:u w:val="single"/>
                </w:rPr>
                <w:t>(incorporated by reference to Exhibit 2.2 to the Company’s Registration Statement on Form S-4 filed on July 30, 2021).</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Amendment No. 1 to the Membership Interest Purchase Agreement, dated as of June 24, 2021, by and among BuzzFeed, Inc., CM Partners, LLC, Complex Media, Inc., Verizon CMP Holdings LLC and HDS II, Inc.</w:t>
              </w:r>
            </w:hyperlink>
            <w:r>
              <w:rPr>
                <w:color w:val="000000"/>
              </w:rPr>
              <w:t xml:space="preserve"> </w:t>
            </w:r>
            <w:hyperlink r:id="rId7">
              <w:r>
                <w:rPr>
                  <w:rStyle w:val="InternetLink"/>
                  <w:rFonts w:ascii="Times New Roman;sans-serif" w:hAnsi="Times New Roman;sans-serif"/>
                  <w:b w:val="false"/>
                  <w:color w:val="0000FF"/>
                  <w:sz w:val="20"/>
                  <w:u w:val="single"/>
                </w:rPr>
                <w:t>(incorporated by reference to Exhibit 2.3 to the Company’s Registration Statement on Form S-4 filed on July 30, 2021).</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Asset Purchase Agreement, dated as of February 21, 2024, by and between BuzzFeed Media Enterprises, Inc. and Commerce Media Holdings, LLC (incorporated by reference to Exhibit 2.3 to the Company’s Annual Report on Form 10-K filed on March 29, 2024).</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Second Amended and Restated Certificate of Incorporation of BuzzFeed, Inc.,</w:t>
              </w:r>
            </w:hyperlink>
            <w:r>
              <w:rPr>
                <w:color w:val="000000"/>
              </w:rPr>
              <w:t xml:space="preserve"> </w:t>
            </w:r>
            <w:hyperlink r:id="rId10">
              <w:r>
                <w:rPr>
                  <w:rStyle w:val="InternetLink"/>
                  <w:rFonts w:ascii="Times New Roman;sans-serif" w:hAnsi="Times New Roman;sans-serif"/>
                  <w:b w:val="false"/>
                  <w:color w:val="0000EE"/>
                  <w:sz w:val="20"/>
                  <w:u w:val="single"/>
                </w:rPr>
                <w:t>(incorporated by reference to Exhibit 3.1 to the Company’s Current Report on Form 8-K filed on December 3, 2021).</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Certificate of Change of Registered Agent and/or Registered Office, dated as of March 13, 2023</w:t>
              </w:r>
            </w:hyperlink>
            <w:r>
              <w:rPr>
                <w:color w:val="000000"/>
              </w:rPr>
              <w:t xml:space="preserve"> </w:t>
            </w:r>
            <w:hyperlink r:id="rId12">
              <w:r>
                <w:rPr>
                  <w:rStyle w:val="InternetLink"/>
                  <w:rFonts w:ascii="Times New Roman;sans-serif" w:hAnsi="Times New Roman;sans-serif"/>
                  <w:b w:val="false"/>
                  <w:color w:val="0000FF"/>
                  <w:sz w:val="20"/>
                  <w:u w:val="single"/>
                </w:rPr>
                <w:t>(incorporated by reference to Exhibit 3.1 to the Company's Current Report on Form 8-K filed on March 15, 2023).</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Certificate of Amendment of Second Amended and Restated Certificate of Incorporation of BuzzFeed, Inc. filed on June 1, 2023 (incorporated by reference to Exhibit 3.3 to the Company’s Quarterly Report on Form 10-Q for the period ended June 30, 2023 filed on August 9, 2023).</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Second Amendment to the Second Amended and Restated Certificate of Incorporation of BuzzFeed, Inc. filed on April 26, 2024 (incorporated by reference to Exhibit 3.1 to the Company’s Current Report on Form 8-K filed on May 2, 2024).</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Restated Bylaws of BuzzFeed, Inc.</w:t>
              </w:r>
            </w:hyperlink>
            <w:r>
              <w:rPr>
                <w:color w:val="000000"/>
              </w:rPr>
              <w:t xml:space="preserve"> </w:t>
            </w:r>
            <w:hyperlink r:id="rId16">
              <w:r>
                <w:rPr>
                  <w:rStyle w:val="InternetLink"/>
                  <w:rFonts w:ascii="Times New Roman;sans-serif" w:hAnsi="Times New Roman;sans-serif"/>
                  <w:b w:val="false"/>
                  <w:color w:val="0000FF"/>
                  <w:sz w:val="20"/>
                  <w:u w:val="single"/>
                </w:rPr>
                <w:t>(incorporated by reference to Exhibit 3.2 to the Company’s Current Report on Form 8-K filed on December 9, 2021).</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Specimen Common Stock Certificate (incorporated by reference to Exhibit 4.1 to the Company's Registration Statement on Form S-4/A filed on October 1, 2021).</w:t>
              </w:r>
            </w:hyperlink>
            <w:r>
              <w:rPr>
                <w:color w:val="000000"/>
              </w:rPr>
              <w:t xml:space="preserve"> </w:t>
            </w:r>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Specimen Warrant Certificate (incorporated by reference to Exhibit 4.3 to the Company's Registration Statement on Form S-1/A filed on January 6, 2021).</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Indenture, dated December 3, 2021, by and between BuzzFeed, Inc. and Wilmington Savings Fund Society, a federal savings bank, as Trustee (incorporated by reference to Exhibit 4.3 to the Company's Current Report on Form 8-K filed on December 9, 2021.</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Form of Global Note (included in Exhibit 4.3) (incorporated by reference to Exhibit 4.4 to the Company's Current Report on Form 8-K filed on December 9, 2021).</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20"/>
                  <w:u w:val="single"/>
                </w:rPr>
                <w:t>First Supplemental Indenture, dated as of July 10, 2023, to the Indenture, dated December 3, 2021 between BuzzFeed, Inc., BuzzFeed Canada, Inc., and Wilmington Savings Fund Society, a Federal Savings Bank, as Trustee.</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Second Supplemental Indenture, dated February 28, 2024, to the Indenture dated December 3, 2021 between BuzzFeed, Inc. and Wilmington Savings Fund Society, a Federal Savings Bank, as Trustee (incorporated by reference to Exhibit 4.1 to the Company’s Current Report on Form 8-K filed on February 29, 2024).</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20"/>
                  <w:u w:val="single"/>
                </w:rPr>
                <w:t>License Agreement, dated March 28, 2024, by and between BuzzFeed Media Enterprises, Inc., BuzzFeed UK Ltd., TheHuffingtonPost.com, Inc., and Independent Digital News and Media Limited (incorporated by reference to Exhibit 10.24 to the Company’s Annual Report on Form 10-K filed on March 29, 2024).</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zfd-20240331xexx311.htm">
              <w:r>
                <w:rPr>
                  <w:rStyle w:val="InternetLink"/>
                  <w:rFonts w:ascii="Times New Roman;sans-serif" w:hAnsi="Times New Roman;sans-serif"/>
                  <w:b w:val="false"/>
                  <w:color w:val="0000FF"/>
                  <w:sz w:val="20"/>
                  <w:u w:val="single"/>
                </w:rPr>
                <w:t>Certification of Principal Executive Officer pursuant to Rule 13a-14(a) and 15d-14(a) under the Exchange Act, as adopted pursuant to Section 302 of the Sarbanes-Oxley Act of 2002.</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zfd-20240331xexx312.htm">
              <w:r>
                <w:rPr>
                  <w:rStyle w:val="InternetLink"/>
                  <w:rFonts w:ascii="Times New Roman;sans-serif" w:hAnsi="Times New Roman;sans-serif"/>
                  <w:b w:val="false"/>
                  <w:color w:val="0000FF"/>
                  <w:sz w:val="20"/>
                  <w:u w:val="single"/>
                </w:rPr>
                <w:t>Certification of Principal Financial Officer pursuant to Rule 13a-14(a) and 15d-14(a) under the Exchange Act, as adopted pursuant to Section 302 of the Sarbanes-Oxley Act of 2002.</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zfd-20240331x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zfd-20240331x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tbl>
      <w:tblPr>
        <w:tblW w:w="9175" w:type="dxa"/>
        <w:jc w:val="left"/>
        <w:tblInd w:w="0" w:type="dxa"/>
        <w:tblLayout w:type="fixed"/>
        <w:tblCellMar>
          <w:top w:w="28" w:type="dxa"/>
          <w:left w:w="28" w:type="dxa"/>
          <w:bottom w:w="28" w:type="dxa"/>
          <w:right w:w="28" w:type="dxa"/>
        </w:tblCellMar>
      </w:tblPr>
      <w:tblGrid>
        <w:gridCol w:w="522"/>
        <w:gridCol w:w="458"/>
        <w:gridCol w:w="459"/>
        <w:gridCol w:w="109"/>
        <w:gridCol w:w="109"/>
        <w:gridCol w:w="109"/>
        <w:gridCol w:w="2166"/>
        <w:gridCol w:w="2166"/>
        <w:gridCol w:w="3077"/>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Schema Document.</w:t>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Calculation Linkbase Document.</w:t>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Definition Linkbase Document.</w:t>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Label Linkbase Document.</w:t>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Presentation Linkbase Document.</w:t>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included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Schedules and exhibits to this Exhibit omitted pursuant to Regulation S-K Item 601(b)(2). The Registrant agrees to furnish supplementally a copy of any omitted schedule or exhibit to the SEC upon request.</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The Registrant has omitted portions of this Exhibit as permitted under Item 601(b)(1) of Regulation 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1f40b2350d094a00ab5b5f82bc991d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301"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209"/>
        <w:gridCol w:w="209"/>
        <w:gridCol w:w="209"/>
        <w:gridCol w:w="1413"/>
        <w:gridCol w:w="1413"/>
        <w:gridCol w:w="204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Duly Authorized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14, 2024</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Jonah Peretti,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14, 2024</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Matt Omer,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14, 2024</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Jonah Peretti, Chief Executive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March 31, 2024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14, 2024</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Matt Omer, Chief Financial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March 31, 2024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14, 2024</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972/000110465921085218/tm2120621d1_ex2-1.htm" TargetMode="External"/><Relationship Id="rId3" Type="http://schemas.openxmlformats.org/officeDocument/2006/relationships/hyperlink" Target="https://www.sec.gov/Archives/edgar/data/1828972/000110465921148188/tm2134844d1_ex3-2.htm" TargetMode="External"/><Relationship Id="rId4" Type="http://schemas.openxmlformats.org/officeDocument/2006/relationships/hyperlink" Target="https://www.sec.gov/Archives/edgar/data/1828972/000110465921098380/tm2122219d3_ex2-2.htm" TargetMode="External"/><Relationship Id="rId5" Type="http://schemas.openxmlformats.org/officeDocument/2006/relationships/hyperlink" Target="https://www.sec.gov/Archives/edgar/data/1828972/000110465921148188/tm2134844d1_ex3-2.htm" TargetMode="External"/><Relationship Id="rId6" Type="http://schemas.openxmlformats.org/officeDocument/2006/relationships/hyperlink" Target="https://www.sec.gov/Archives/edgar/data/1828972/000110465921098380/tm2122219d3_ex2-3.htm" TargetMode="External"/><Relationship Id="rId7" Type="http://schemas.openxmlformats.org/officeDocument/2006/relationships/hyperlink" Target="https://www.sec.gov/Archives/edgar/data/1828972/000110465921148188/tm2134844d1_ex3-2.htm" TargetMode="External"/><Relationship Id="rId8" Type="http://schemas.openxmlformats.org/officeDocument/2006/relationships/hyperlink" Target="https://www.sec.gov/Archives/edgar/data/1828972/000182897224000015/exhibit21-apa.htm" TargetMode="External"/><Relationship Id="rId9" Type="http://schemas.openxmlformats.org/officeDocument/2006/relationships/hyperlink" Target="https://www.sec.gov/Archives/edgar/data/1828972/000110465921148188/tm2134844d1_ex3-1.htm" TargetMode="External"/><Relationship Id="rId10" Type="http://schemas.openxmlformats.org/officeDocument/2006/relationships/hyperlink" Target="https://www.sec.gov/Archives/edgar/data/1828972/000110465921148188/tm2134844d1_ex3-1.htm" TargetMode="External"/><Relationship Id="rId11" Type="http://schemas.openxmlformats.org/officeDocument/2006/relationships/hyperlink" Target="https://www.sec.gov/Archives/edgar/data/1828972/000182897223000025/exhibit31delaware-buzzfeed.htm" TargetMode="External"/><Relationship Id="rId12" Type="http://schemas.openxmlformats.org/officeDocument/2006/relationships/hyperlink" Target="https://www.sec.gov/Archives/edgar/data/1828972/000182897223000025/exhibit31delaware-buzzfeed.htm" TargetMode="External"/><Relationship Id="rId13" Type="http://schemas.openxmlformats.org/officeDocument/2006/relationships/hyperlink" Target="https://www.sec.gov/Archives/edgar/data/1828972/000182897223000141/exhibit33.htm" TargetMode="External"/><Relationship Id="rId14" Type="http://schemas.openxmlformats.org/officeDocument/2006/relationships/hyperlink" Target="https://www.sec.gov/Archives/edgar/data/1828972/000182897224000099/ex31certificateofamendment.htm" TargetMode="External"/><Relationship Id="rId15" Type="http://schemas.openxmlformats.org/officeDocument/2006/relationships/hyperlink" Target="https://www.sec.gov/Archives/edgar/data/1828972/000110465921148188/tm2134844d1_ex3-2.htm" TargetMode="External"/><Relationship Id="rId16" Type="http://schemas.openxmlformats.org/officeDocument/2006/relationships/hyperlink" Target="https://www.sec.gov/Archives/edgar/data/1828972/000110465921148188/tm2134844d1_ex3-2.htm" TargetMode="External"/><Relationship Id="rId17" Type="http://schemas.openxmlformats.org/officeDocument/2006/relationships/hyperlink" Target="https://www.sec.gov/Archives/edgar/data/1828972/000110465921122092/enfa-20211001xex4d1.htm" TargetMode="External"/><Relationship Id="rId18" Type="http://schemas.openxmlformats.org/officeDocument/2006/relationships/hyperlink" Target="https://www.sec.gov/Archives/edgar/data/1828972/000110465921001623/tm2034583d8_ex4-4.htm" TargetMode="External"/><Relationship Id="rId19" Type="http://schemas.openxmlformats.org/officeDocument/2006/relationships/hyperlink" Target="https://www.sec.gov/Archives/edgar/data/1828972/000110465921148188/tm2134844d1_ex4-3.htm" TargetMode="External"/><Relationship Id="rId20" Type="http://schemas.openxmlformats.org/officeDocument/2006/relationships/hyperlink" Target="https://www.sec.gov/Archives/edgar/data/1828972/000110465921148188/tm2134844d1_ex4-3.htm" TargetMode="External"/><Relationship Id="rId21" Type="http://schemas.openxmlformats.org/officeDocument/2006/relationships/hyperlink" Target="https://www.sec.gov/Archives/edgar/data/1828972/000182897223000141/buzzfeed-firstsupplemental.htm" TargetMode="External"/><Relationship Id="rId22" Type="http://schemas.openxmlformats.org/officeDocument/2006/relationships/hyperlink" Target="https://www.sec.gov/Archives/edgar/data/1828972/000182897224000019/exhibit41-secondsupplement.htm" TargetMode="External"/><Relationship Id="rId23" Type="http://schemas.openxmlformats.org/officeDocument/2006/relationships/hyperlink" Target="https://www.sec.gov/Archives/edgar/data/1828972/000182897224000057/exhibit1024buzzfeedidnmlic.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30458</Words>
  <Characters>168058</Characters>
  <CharactersWithSpaces>196878</CharactersWithSpaces>
  <Paragraphs>2594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