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106"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3"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4360"/>
        <w:spacing w:after="0"/>
        <w:tabs>
          <w:tab w:leader="none" w:pos="67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Commission file number: 001-39877</w:t>
      </w:r>
    </w:p>
    <w:p>
      <w:pPr>
        <w:spacing w:after="0" w:line="23"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BuzzFeed,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100"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1759"/>
              <w:spacing w:after="0"/>
              <w:rPr>
                <w:sz w:val="20"/>
                <w:szCs w:val="20"/>
                <w:color w:val="auto"/>
              </w:rPr>
            </w:pPr>
            <w:r>
              <w:rPr>
                <w:rFonts w:ascii="Times New Roman" w:cs="Times New Roman" w:eastAsia="Times New Roman" w:hAnsi="Times New Roman"/>
                <w:sz w:val="16"/>
                <w:szCs w:val="16"/>
                <w:b w:val="1"/>
                <w:bCs w:val="1"/>
                <w:color w:val="auto"/>
              </w:rPr>
              <w:t>85-3022075</w:t>
            </w:r>
          </w:p>
        </w:tc>
      </w:tr>
      <w:tr>
        <w:trPr>
          <w:trHeight w:val="243"/>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0"/>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229 West 43rd Street New York, New York</w:t>
            </w:r>
          </w:p>
        </w:tc>
        <w:tc>
          <w:tcPr>
            <w:tcW w:w="2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720" w:type="dxa"/>
            <w:vAlign w:val="bottom"/>
          </w:tcPr>
          <w:p>
            <w:pPr>
              <w:jc w:val="right"/>
              <w:ind w:right="1959"/>
              <w:spacing w:after="0"/>
              <w:rPr>
                <w:sz w:val="20"/>
                <w:szCs w:val="20"/>
                <w:color w:val="auto"/>
              </w:rPr>
            </w:pPr>
            <w:r>
              <w:rPr>
                <w:rFonts w:ascii="Times New Roman" w:cs="Times New Roman" w:eastAsia="Times New Roman" w:hAnsi="Times New Roman"/>
                <w:sz w:val="16"/>
                <w:szCs w:val="16"/>
                <w:b w:val="1"/>
                <w:bCs w:val="1"/>
                <w:color w:val="auto"/>
              </w:rPr>
              <w:t>10036</w:t>
            </w:r>
          </w:p>
        </w:tc>
      </w:tr>
      <w:tr>
        <w:trPr>
          <w:trHeight w:val="243"/>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(Zip Code)</w:t>
            </w:r>
          </w:p>
        </w:tc>
      </w:tr>
      <w:tr>
        <w:trPr>
          <w:trHeight w:val="310"/>
        </w:trPr>
        <w:tc>
          <w:tcPr>
            <w:tcW w:w="4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(646) 397-2039</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7540" w:type="dxa"/>
            <w:vAlign w:val="bottom"/>
            <w:gridSpan w:val="3"/>
          </w:tcPr>
          <w:p>
            <w:pPr>
              <w:jc w:val="center"/>
              <w:ind w:left="3618"/>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720" w:type="dxa"/>
            <w:vAlign w:val="bottom"/>
          </w:tcPr>
          <w:p>
            <w:pPr>
              <w:spacing w:after="0"/>
              <w:rPr>
                <w:sz w:val="24"/>
                <w:szCs w:val="24"/>
                <w:color w:val="auto"/>
              </w:rPr>
            </w:pPr>
          </w:p>
        </w:tc>
      </w:tr>
      <w:tr>
        <w:trPr>
          <w:trHeight w:val="310"/>
        </w:trPr>
        <w:tc>
          <w:tcPr>
            <w:tcW w:w="7540" w:type="dxa"/>
            <w:vAlign w:val="bottom"/>
            <w:gridSpan w:val="3"/>
          </w:tcPr>
          <w:p>
            <w:pPr>
              <w:jc w:val="center"/>
              <w:ind w:left="3638"/>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20" w:type="dxa"/>
            <w:vAlign w:val="bottom"/>
          </w:tcPr>
          <w:p>
            <w:pPr>
              <w:spacing w:after="0"/>
              <w:rPr>
                <w:sz w:val="24"/>
                <w:szCs w:val="24"/>
                <w:color w:val="auto"/>
              </w:rPr>
            </w:pPr>
          </w:p>
        </w:tc>
      </w:tr>
      <w:tr>
        <w:trPr>
          <w:trHeight w:val="74"/>
        </w:trPr>
        <w:tc>
          <w:tcPr>
            <w:tcW w:w="444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r>
      <w:tr>
        <w:trPr>
          <w:trHeight w:val="230"/>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70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jc w:val="center"/>
              <w:ind w:right="65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6"/>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BZFD</w:t>
            </w:r>
          </w:p>
        </w:tc>
        <w:tc>
          <w:tcPr>
            <w:tcW w:w="70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4"/>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Redeemable warrants, each whole warrant exercisable for one</w:t>
            </w:r>
          </w:p>
        </w:tc>
        <w:tc>
          <w:tcPr>
            <w:tcW w:w="24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Borders>
              <w:right w:val="single" w:sz="8" w:color="auto"/>
            </w:tcBorders>
          </w:tcPr>
          <w:p>
            <w:pPr>
              <w:spacing w:after="0"/>
              <w:rPr>
                <w:sz w:val="18"/>
                <w:szCs w:val="18"/>
                <w:color w:val="auto"/>
              </w:rPr>
            </w:pPr>
          </w:p>
        </w:tc>
      </w:tr>
      <w:tr>
        <w:trPr>
          <w:trHeight w:val="189"/>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 of Class A Common Stock at an exercise price of</w:t>
            </w:r>
          </w:p>
        </w:tc>
        <w:tc>
          <w:tcPr>
            <w:tcW w:w="24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r>
      <w:tr>
        <w:trPr>
          <w:trHeight w:val="225"/>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approximately $46.00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BZFDW</w:t>
            </w:r>
          </w:p>
        </w:tc>
        <w:tc>
          <w:tcPr>
            <w:tcW w:w="70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89" w:lineRule="exact"/>
        <w:rPr>
          <w:sz w:val="24"/>
          <w:szCs w:val="24"/>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ind w:right="4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1340" w:type="dxa"/>
        <w:tblCellMar>
          <w:top w:w="0" w:type="dxa"/>
          <w:left w:w="0" w:type="dxa"/>
          <w:bottom w:w="0" w:type="dxa"/>
          <w:right w:w="0" w:type="dxa"/>
        </w:tblCellMar>
      </w:tblPr>
      <w:tr>
        <w:trPr>
          <w:trHeight w:val="210"/>
        </w:trPr>
        <w:tc>
          <w:tcPr>
            <w:tcW w:w="212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680"/>
              <w:spacing w:after="0"/>
              <w:rPr>
                <w:sz w:val="20"/>
                <w:szCs w:val="20"/>
                <w:color w:val="auto"/>
              </w:rPr>
            </w:pPr>
            <w:r>
              <w:rPr>
                <w:rFonts w:ascii="Wingdings" w:cs="Wingdings" w:eastAsia="Wingdings" w:hAnsi="Wingdings"/>
                <w:sz w:val="16"/>
                <w:szCs w:val="16"/>
                <w:b w:val="1"/>
                <w:bCs w:val="1"/>
                <w:color w:val="auto"/>
              </w:rPr>
              <w:t>o</w:t>
            </w:r>
          </w:p>
        </w:tc>
        <w:tc>
          <w:tcPr>
            <w:tcW w:w="41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18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212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680"/>
              <w:spacing w:after="0"/>
              <w:rPr>
                <w:sz w:val="20"/>
                <w:szCs w:val="20"/>
                <w:color w:val="auto"/>
              </w:rPr>
            </w:pPr>
            <w:r>
              <w:rPr>
                <w:rFonts w:ascii="Wingdings" w:cs="Wingdings" w:eastAsia="Wingdings" w:hAnsi="Wingdings"/>
                <w:sz w:val="16"/>
                <w:szCs w:val="16"/>
                <w:b w:val="1"/>
                <w:bCs w:val="1"/>
                <w:color w:val="auto"/>
              </w:rPr>
              <w:t>x</w:t>
            </w:r>
          </w:p>
        </w:tc>
        <w:tc>
          <w:tcPr>
            <w:tcW w:w="41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18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2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1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18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208" w:lineRule="exact"/>
        <w:rPr>
          <w:sz w:val="24"/>
          <w:szCs w:val="24"/>
          <w:color w:val="auto"/>
        </w:rPr>
      </w:pPr>
    </w:p>
    <w:p>
      <w:pPr>
        <w:ind w:right="60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27" w:lineRule="exact"/>
        <w:rPr>
          <w:sz w:val="24"/>
          <w:szCs w:val="24"/>
          <w:color w:val="auto"/>
        </w:rPr>
      </w:pPr>
    </w:p>
    <w:p>
      <w:pPr>
        <w:ind w:right="500"/>
        <w:spacing w:after="0" w:line="280" w:lineRule="auto"/>
        <w:rPr>
          <w:sz w:val="20"/>
          <w:szCs w:val="20"/>
          <w:color w:val="auto"/>
        </w:rPr>
      </w:pPr>
      <w:r>
        <w:rPr>
          <w:rFonts w:ascii="Times New Roman" w:cs="Times New Roman" w:eastAsia="Times New Roman" w:hAnsi="Times New Roman"/>
          <w:sz w:val="16"/>
          <w:szCs w:val="16"/>
          <w:color w:val="auto"/>
        </w:rPr>
        <w:t>As of August 9, 2024, there were 36,435,807 shares of the registrant’s Class A common stock outstanding, 1,358,714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2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820" w:type="dxa"/>
            <w:vAlign w:val="bottom"/>
            <w:gridSpan w:val="2"/>
          </w:tcPr>
          <w:p>
            <w:pPr>
              <w:spacing w:after="0"/>
              <w:rPr>
                <w:sz w:val="19"/>
                <w:szCs w:val="19"/>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2560" w:type="dxa"/>
            <w:vAlign w:val="bottom"/>
            <w:gridSpan w:val="5"/>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6</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1840" w:type="dxa"/>
            <w:vAlign w:val="bottom"/>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7</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8</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840" w:type="dxa"/>
            <w:vAlign w:val="bottom"/>
          </w:tcPr>
          <w:p>
            <w:pPr>
              <w:spacing w:after="0"/>
              <w:rPr>
                <w:sz w:val="21"/>
                <w:szCs w:val="21"/>
                <w:color w:val="auto"/>
              </w:rPr>
            </w:pP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Legal Proceedings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Risk Factors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2</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3</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5</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Other Information</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1"/>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6</w:t>
            </w:r>
          </w:p>
        </w:tc>
        <w:tc>
          <w:tcPr>
            <w:tcW w:w="940" w:type="dxa"/>
            <w:vAlign w:val="bottom"/>
            <w:gridSpan w:val="3"/>
          </w:tcPr>
          <w:p>
            <w:pPr>
              <w:spacing w:after="0"/>
              <w:rPr>
                <w:sz w:val="21"/>
                <w:szCs w:val="21"/>
                <w:color w:val="auto"/>
              </w:rPr>
            </w:pPr>
          </w:p>
        </w:tc>
        <w:tc>
          <w:tcPr>
            <w:tcW w:w="6740" w:type="dxa"/>
            <w:vAlign w:val="bottom"/>
            <w:gridSpan w:val="16"/>
          </w:tcPr>
          <w:p>
            <w:pPr>
              <w:ind w:left="280"/>
              <w:spacing w:after="0"/>
              <w:rPr>
                <w:sz w:val="20"/>
                <w:szCs w:val="20"/>
                <w:color w:val="auto"/>
              </w:rPr>
            </w:pPr>
            <w:r>
              <w:rPr>
                <w:rFonts w:ascii="Times New Roman" w:cs="Times New Roman" w:eastAsia="Times New Roman" w:hAnsi="Times New Roman"/>
                <w:sz w:val="18"/>
                <w:szCs w:val="18"/>
                <w:color w:val="0000FF"/>
              </w:rPr>
              <w:t>Exhibits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56</w:t>
            </w:r>
          </w:p>
        </w:tc>
      </w:tr>
      <w:tr>
        <w:trPr>
          <w:trHeight w:val="938"/>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gridSpan w:val="12"/>
          </w:tcPr>
          <w:p>
            <w:pPr>
              <w:ind w:left="4140"/>
              <w:spacing w:after="0"/>
              <w:rPr>
                <w:sz w:val="20"/>
                <w:szCs w:val="20"/>
                <w:color w:val="auto"/>
              </w:rPr>
            </w:pPr>
            <w:r>
              <w:rPr>
                <w:rFonts w:ascii="Times New Roman" w:cs="Times New Roman" w:eastAsia="Times New Roman" w:hAnsi="Times New Roman"/>
                <w:sz w:val="17"/>
                <w:szCs w:val="17"/>
                <w:color w:val="auto"/>
                <w:w w:val="70"/>
              </w:rPr>
              <w:t>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include all matters that are not historical facts.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the digital media industry, including overall demand of advertising in the markets in which we operate;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or changes in traffic or engagement with our brands and content;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and competitive environment in which we and our current and prospective partners and advertisers operate;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adverse economic conditions in the United States (“U.S.”) and globally, including the potential onset of recession; current global supply chain disruptions; potential government shutdowns or a failure to raise the U.S. federal debt ceiling or to fund the federal government; the ongoing conflicts between Russia and Ukraine and between Israel and Hamas and any related sanctions and geopolitical tensions, and further escalation of trade tensions between the U.S. and China; the inflationary environment; high unemployment; high interest rates, currency fluctuations; and the competitive labor market;</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including, but not limited to, our ability to obtain additional capital in the future, to settle conversions of our unsecured convertible notes, repurchase the notes upon a fundamental change such as the delisting of our Class A common stock, or repay the notes in cash at their maturity, any restrictions imposed by, or commitments under, the indenture governing the notes or agreements governing any future indebtedness, and any restrictions on our ability to access our cash and cash equivalents;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law and government regulation, including, but not limited to, revised foreign content and ownership regulations, and the outcomes of legal proceedings, regulatory disputes or governmental investigations to which we are subject;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cost savings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divesting of companies, assets or brands we sell or in integrating and supporting the companies we acquire;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including artificial intelligence;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activist shareholder activity, including on our strategic direction;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other key employees or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content creators and on-camera talent and relationships with third parties managing certain of our branded operations outside of the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our information technology (“IT”) systems or data;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service, or by our failure to timely and effectively scale and adapt our existing technology and infrastructure;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and warrants on The Nasdaq Capital Market (“Nasdaq”);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 in our Annual Report on Form 10-K for the year ended December 31, 2023, our Quarterly Report on Form 10-Q for the quarter ended March 31, 2024 and this Quarterly Report on Form 10-Q.</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in our Annual Report on Form 10-K for the year ended December 31, 2023, our Quarterly Report on Form 10-Q for the quarter ended March 31, 2024 and this Quarterly Report on Form 10-Q. These and other factors could cause results to differ materially from those expressed in these publications and reports.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(https://investors.buzzfeed.com), U.S. Securities and Exchange Commission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BUZZFEED, INC.</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and shares in thousands, except per share amounts</w:t>
      </w:r>
      <w:r>
        <w:rPr>
          <w:rFonts w:ascii="Times New Roman" w:cs="Times New Roman" w:eastAsia="Times New Roman" w:hAnsi="Times New Roman"/>
          <w:sz w:val="14"/>
          <w:szCs w:val="14"/>
          <w:color w:val="auto"/>
        </w:rPr>
        <w: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35,637</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$1,066 as at June 30, 2024 and $1,424 as at December 31, 2023)</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75,692</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21,460</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111,675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132,789</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11,856</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Capitalized software costs,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57,562</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104,089</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272,854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411,476</w:t>
            </w:r>
          </w:p>
        </w:tc>
      </w:tr>
      <w:tr>
        <w:trPr>
          <w:trHeight w:val="23"/>
        </w:trPr>
        <w:tc>
          <w:tcPr>
            <w:tcW w:w="818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46,378</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15,515</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12,970</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21,659</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debt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124,977</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227,795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37,820</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33,837</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203,537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300,293</w:t>
            </w:r>
          </w:p>
        </w:tc>
      </w:tr>
      <w:tr>
        <w:trPr>
          <w:trHeight w:val="54"/>
        </w:trPr>
        <w:tc>
          <w:tcPr>
            <w:tcW w:w="8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54"/>
        </w:trPr>
        <w:tc>
          <w:tcPr>
            <w:tcW w:w="8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A common stock, $0.0001 par value; 700,000 shares authorized; 35,879 and 35,035 shares issued and outstanding at June 30, 2024</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8"/>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and December 31, 2023, respectively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B common stock, $0.0001 par value; 20,000 shares authorized; 1,359 and 1,368 shares issued and outstanding at June 30, 2024 and</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5"/>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725,386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723,092</w:t>
            </w: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(654,984)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(611,768)</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BuzzFeed, Inc.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108,828</w:t>
            </w:r>
          </w:p>
        </w:tc>
      </w:tr>
      <w:tr>
        <w:trPr>
          <w:trHeight w:val="186"/>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111,183</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272,854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411,476</w:t>
            </w:r>
          </w:p>
        </w:tc>
      </w:tr>
      <w:tr>
        <w:trPr>
          <w:trHeight w:val="26"/>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(Unaudited, dollars and shares </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i w:val="1"/>
          <w:iCs w:val="1"/>
          <w:color w:val="auto"/>
        </w:rPr>
        <w:t>n thousands, except per share amounts</w:t>
      </w:r>
      <w:r>
        <w:rPr>
          <w:rFonts w:ascii="Times New Roman" w:cs="Times New Roman" w:eastAsia="Times New Roman" w:hAnsi="Times New Roman"/>
          <w:sz w:val="18"/>
          <w:szCs w:val="18"/>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46,932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117,036</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76,204</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22,047</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42,175</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51,146</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157,935</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(40,899)</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(3,981)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(6,659)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(6,483)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(7,360)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(64,097)</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(7,487)</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2"/>
        </w:trPr>
        <w:tc>
          <w:tcPr>
            <w:tcW w:w="50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from continuing operations attributable to holders of Class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4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and Class B common stock:</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(6,610)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 per Class A and Class B</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35,332</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(8,041)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(64,799)</w:t>
            </w:r>
          </w:p>
        </w:tc>
      </w:tr>
      <w:tr>
        <w:trPr>
          <w:trHeight w:val="225"/>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attributable to</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BuzzFeed, Inc.</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(8,037)</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(64,239)</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3"/>
          <w:szCs w:val="13"/>
          <w:b w:val="1"/>
          <w:bCs w:val="1"/>
          <w:color w:val="auto"/>
        </w:rPr>
        <w:t>For the Three and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29210</wp:posOffset>
            </wp:positionV>
            <wp:extent cx="60775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147"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r>
      <w:tr>
        <w:trPr>
          <w:trHeight w:val="166"/>
        </w:trPr>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C</w:t>
            </w:r>
          </w:p>
        </w:tc>
      </w:tr>
      <w:tr>
        <w:trPr>
          <w:trHeight w:val="29"/>
        </w:trPr>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6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BuzzFeed, Inc.</w:t>
            </w:r>
          </w:p>
        </w:tc>
        <w:tc>
          <w:tcPr>
            <w:tcW w:w="980" w:type="dxa"/>
            <w:vAlign w:val="bottom"/>
          </w:tcPr>
          <w:p>
            <w:pPr>
              <w:spacing w:after="0"/>
              <w:rPr>
                <w:sz w:val="12"/>
                <w:szCs w:val="12"/>
                <w:color w:val="auto"/>
              </w:rPr>
            </w:pP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9"/>
        </w:trPr>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80"/>
        </w:trPr>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equity</w:t>
            </w:r>
          </w:p>
        </w:tc>
      </w:tr>
    </w:tbl>
    <w:p>
      <w:pPr>
        <w:spacing w:after="0" w:line="9" w:lineRule="exact"/>
        <w:rPr>
          <w:sz w:val="20"/>
          <w:szCs w:val="20"/>
          <w:color w:val="auto"/>
        </w:rPr>
      </w:pPr>
    </w:p>
    <w:p>
      <w:pPr>
        <w:sectPr>
          <w:pgSz w:w="11900" w:h="16838" w:orient="portrait"/>
          <w:cols w:equalWidth="0" w:num="2">
            <w:col w:w="5900" w:space="120"/>
            <w:col w:w="522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2024</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35,035</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723,092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(611,768)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111,183</w:t>
            </w:r>
          </w:p>
        </w:tc>
      </w:tr>
      <w:tr>
        <w:trPr>
          <w:trHeight w:val="173"/>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(35,729)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(35,782)</w:t>
            </w: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r>
      <w:tr>
        <w:trPr>
          <w:trHeight w:val="157"/>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8"/>
        </w:trPr>
        <w:tc>
          <w:tcPr>
            <w:tcW w:w="16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9"/>
              </w:rPr>
              <w:t>connection with share-based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8"/>
        </w:trPr>
        <w:tc>
          <w:tcPr>
            <w:tcW w:w="16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5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4"/>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r>
      <w:tr>
        <w:trPr>
          <w:trHeight w:val="29"/>
        </w:trPr>
        <w:tc>
          <w:tcPr>
            <w:tcW w:w="16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6"/>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35,079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723,868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(647,497)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73,698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75,840</w:t>
            </w:r>
          </w:p>
        </w:tc>
      </w:tr>
      <w:tr>
        <w:trPr>
          <w:trHeight w:val="167"/>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(7,487)</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(7,487)</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(7,360)</w:t>
            </w: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83"/>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r>
      <w:tr>
        <w:trPr>
          <w:trHeight w:val="157"/>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8"/>
        </w:trPr>
        <w:tc>
          <w:tcPr>
            <w:tcW w:w="16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9"/>
              </w:rPr>
              <w:t>connection with share-based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8"/>
        </w:trPr>
        <w:tc>
          <w:tcPr>
            <w:tcW w:w="16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5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4"/>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73"/>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r>
      <w:tr>
        <w:trPr>
          <w:trHeight w:val="30"/>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5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Conversion of Class B common</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48"/>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to Class A common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207"/>
        </w:trPr>
        <w:tc>
          <w:tcPr>
            <w:tcW w:w="1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35,879</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725,386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(654,984)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(3,227)</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67,179</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69,317</w:t>
            </w:r>
          </w:p>
        </w:tc>
      </w:tr>
      <w:tr>
        <w:trPr>
          <w:trHeight w:val="22"/>
        </w:trPr>
        <w:tc>
          <w:tcPr>
            <w:tcW w:w="1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3400"/>
        <w:spacing w:after="0"/>
        <w:rPr>
          <w:sz w:val="20"/>
          <w:szCs w:val="20"/>
          <w:color w:val="auto"/>
        </w:rPr>
      </w:pPr>
      <w:r>
        <w:rPr>
          <w:rFonts w:ascii="Times New Roman" w:cs="Times New Roman" w:eastAsia="Times New Roman" w:hAnsi="Times New Roman"/>
          <w:sz w:val="13"/>
          <w:szCs w:val="13"/>
          <w:b w:val="1"/>
          <w:bCs w:val="1"/>
          <w:color w:val="auto"/>
        </w:rPr>
        <w:t>For the Three and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29210</wp:posOffset>
            </wp:positionV>
            <wp:extent cx="6069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133"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r>
      <w:tr>
        <w:trPr>
          <w:trHeight w:val="166"/>
        </w:trPr>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C</w:t>
            </w:r>
          </w:p>
        </w:tc>
      </w:tr>
      <w:tr>
        <w:trPr>
          <w:trHeight w:val="29"/>
        </w:trPr>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7"/>
        </w:trPr>
        <w:tc>
          <w:tcPr>
            <w:tcW w:w="6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BuzzFeed, Inc.</w:t>
            </w:r>
          </w:p>
        </w:tc>
        <w:tc>
          <w:tcPr>
            <w:tcW w:w="980" w:type="dxa"/>
            <w:vAlign w:val="bottom"/>
          </w:tcPr>
          <w:p>
            <w:pPr>
              <w:spacing w:after="0"/>
              <w:rPr>
                <w:sz w:val="12"/>
                <w:szCs w:val="12"/>
                <w:color w:val="auto"/>
              </w:rPr>
            </w:pP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9"/>
        </w:trPr>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66"/>
        </w:trPr>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equity</w:t>
            </w:r>
          </w:p>
        </w:tc>
      </w:tr>
    </w:tbl>
    <w:p>
      <w:pPr>
        <w:spacing w:after="0" w:line="9" w:lineRule="exact"/>
        <w:rPr>
          <w:sz w:val="20"/>
          <w:szCs w:val="20"/>
          <w:color w:val="auto"/>
        </w:rPr>
      </w:pPr>
    </w:p>
    <w:p>
      <w:pPr>
        <w:sectPr>
          <w:pgSz w:w="11900" w:h="16838" w:orient="portrait"/>
          <w:cols w:equalWidth="0" w:num="2">
            <w:col w:w="5900" w:space="120"/>
            <w:col w:w="522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716,244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(523,063)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194,554</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Cumulative effect of accounting</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(36,261)</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connection with share-based</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8"/>
              </w:rPr>
              <w:t>Conversion of Class C 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to Class A 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717,202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(559,190)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155,347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158,366</w:t>
            </w:r>
          </w:p>
        </w:tc>
        <w:tc>
          <w:tcPr>
            <w:tcW w:w="0" w:type="dxa"/>
            <w:vAlign w:val="bottom"/>
          </w:tcPr>
          <w:p>
            <w:pPr>
              <w:spacing w:after="0"/>
              <w:rPr>
                <w:sz w:val="1"/>
                <w:szCs w:val="1"/>
                <w:color w:val="auto"/>
              </w:rPr>
            </w:pPr>
          </w:p>
        </w:tc>
      </w:tr>
      <w:tr>
        <w:trPr>
          <w:trHeight w:val="167"/>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(27,836)</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(27,836)</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(27,836)</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Issuance of common stock upon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Other comprehensive income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connection with at-the-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market offering, net of</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issuance costs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0" w:type="dxa"/>
            <w:vAlign w:val="bottom"/>
          </w:tcPr>
          <w:p>
            <w:pPr>
              <w:spacing w:after="0"/>
              <w:rPr>
                <w:sz w:val="1"/>
                <w:szCs w:val="1"/>
                <w:color w:val="auto"/>
              </w:rPr>
            </w:pPr>
          </w:p>
        </w:tc>
      </w:tr>
      <w:tr>
        <w:trPr>
          <w:trHeight w:val="19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34,154</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720,242</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(587,026)</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130,850</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133,627</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80" w:type="dxa"/>
            <w:vAlign w:val="bottom"/>
          </w:tcPr>
          <w:p>
            <w:pPr>
              <w:spacing w:after="0"/>
              <w:rPr>
                <w:sz w:val="14"/>
                <w:szCs w:val="14"/>
                <w:color w:val="auto"/>
              </w:rPr>
            </w:pPr>
          </w:p>
        </w:tc>
        <w:tc>
          <w:tcPr>
            <w:tcW w:w="2520" w:type="dxa"/>
            <w:vAlign w:val="bottom"/>
            <w:gridSpan w:val="4"/>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540" w:type="dxa"/>
            <w:vAlign w:val="bottom"/>
          </w:tcPr>
          <w:p>
            <w:pPr>
              <w:spacing w:after="0"/>
              <w:rPr>
                <w:sz w:val="14"/>
                <w:szCs w:val="14"/>
                <w:color w:val="auto"/>
              </w:rPr>
            </w:pPr>
          </w:p>
        </w:tc>
      </w:tr>
      <w:tr>
        <w:trPr>
          <w:trHeight w:val="29"/>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7"/>
        </w:trPr>
        <w:tc>
          <w:tcPr>
            <w:tcW w:w="8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r>
      <w:tr>
        <w:trPr>
          <w:trHeight w:val="29"/>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Net (loss)</w:t>
            </w: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(43,141)</w:t>
            </w:r>
          </w:p>
        </w:tc>
        <w:tc>
          <w:tcPr>
            <w:tcW w:w="100" w:type="dxa"/>
            <w:vAlign w:val="bottom"/>
          </w:tcPr>
          <w:p>
            <w:pPr>
              <w:spacing w:after="0"/>
              <w:rPr>
                <w:sz w:val="15"/>
                <w:szCs w:val="15"/>
                <w:color w:val="auto"/>
              </w:rPr>
            </w:pP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(64,097)</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Less: net (loss) from discontinued operations, net of tax</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12,226</w:t>
            </w:r>
          </w:p>
        </w:tc>
      </w:tr>
      <w:tr>
        <w:trPr>
          <w:trHeight w:val="167"/>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Net loss from continuing operations</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(33,052)</w:t>
            </w: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(51,871)</w:t>
            </w:r>
          </w:p>
        </w:tc>
      </w:tr>
      <w:tr>
        <w:trPr>
          <w:trHeight w:val="29"/>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10,744</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11,030</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231F20"/>
              </w:rPr>
              <w:t>Unrealized gain on foreign currency</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(809)</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231F20"/>
              </w:rPr>
              <w:t>Stock based compensation</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2,499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2,816</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231F20"/>
              </w:rPr>
              <w:t>Change in fair value of warrants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669</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198</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231F20"/>
              </w:rPr>
              <w:t>Change in fair value of derivative liability</w:t>
            </w:r>
          </w:p>
        </w:tc>
        <w:tc>
          <w:tcPr>
            <w:tcW w:w="9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(120)</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231F20"/>
              </w:rPr>
              <w:t>Amortization of debt discount and deferred issuance costs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2,606</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2,307</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341</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(259)</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(gain) on investment</w:t>
            </w:r>
          </w:p>
        </w:tc>
        <w:tc>
          <w:tcPr>
            <w:tcW w:w="9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3,590</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disposition of assets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(350)</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(175)</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lease expense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8,638</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10,173</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30,330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45,871</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 and prepaid expenses and other assets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1,653</w:t>
            </w: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9,889</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compensation</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(11,102)</w:t>
            </w: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231F20"/>
              </w:rPr>
              <w:t>Accrued expenses, other current liabilities and other liabilities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(11,302)</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231F20"/>
              </w:rPr>
              <w:t>Lease liabilities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(10,418)</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(11,822)</w:t>
            </w: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(2,488)</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operating activities from continuing operations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(16,786)</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(2,080)</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in operating activities from discontinued operations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(5,650)</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(25,703)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(7,730)</w:t>
            </w:r>
          </w:p>
        </w:tc>
      </w:tr>
      <w:tr>
        <w:trPr>
          <w:trHeight w:val="34"/>
        </w:trPr>
        <w:tc>
          <w:tcPr>
            <w:tcW w:w="8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(471)</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Capitalization of internal-use software</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(6,415)</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(7,676)</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of asset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350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175</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investing activities from continuing operations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(6,273)</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(7,972)</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by investing activities from discontinued operations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108,575</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(used in) investing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102,302</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(7,972)</w:t>
            </w:r>
          </w:p>
        </w:tc>
      </w:tr>
      <w:tr>
        <w:trPr>
          <w:trHeight w:val="34"/>
        </w:trPr>
        <w:tc>
          <w:tcPr>
            <w:tcW w:w="8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29</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for shares withheld for employee taxes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(230)</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(220)</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 on Revolving Credit Facility</w:t>
            </w:r>
          </w:p>
        </w:tc>
        <w:tc>
          <w:tcPr>
            <w:tcW w:w="9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2,128</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(33,837)</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on Convertible Notes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(31,233)</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in connection with the at-the-market offering, net of issuance costs</w:t>
            </w:r>
          </w:p>
        </w:tc>
        <w:tc>
          <w:tcPr>
            <w:tcW w:w="9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231F20"/>
              </w:rPr>
              <w:t>—</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early termination fee for Revolving Credit Facility</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(500)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deferred issuance costs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(597)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in) provided by financing activities</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(66,396)</w:t>
            </w: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1,385</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currency translation on cash and cash equivalents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(379)</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(162)</w:t>
            </w:r>
          </w:p>
        </w:tc>
      </w:tr>
      <w:tr>
        <w:trPr>
          <w:trHeight w:val="20"/>
        </w:trPr>
        <w:tc>
          <w:tcPr>
            <w:tcW w:w="8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513" w:right="339" w:bottom="1440" w:gutter="0" w:footer="0" w:header="0"/>
        </w:sectPr>
      </w:pPr>
    </w:p>
    <w:p>
      <w:pPr>
        <w:ind w:left="20"/>
        <w:spacing w:after="0"/>
        <w:rPr>
          <w:sz w:val="20"/>
          <w:szCs w:val="20"/>
          <w:color w:val="auto"/>
        </w:rPr>
      </w:pPr>
      <w:r>
        <w:rPr>
          <w:rFonts w:ascii="Times New Roman" w:cs="Times New Roman" w:eastAsia="Times New Roman" w:hAnsi="Times New Roman"/>
          <w:sz w:val="12"/>
          <w:szCs w:val="12"/>
          <w:color w:val="auto"/>
        </w:rPr>
        <w:t>Net increase (decrease) in cash and cash equivalents</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5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ind w:left="397"/>
              <w:spacing w:after="0"/>
              <w:rPr>
                <w:sz w:val="20"/>
                <w:szCs w:val="20"/>
                <w:color w:val="auto"/>
              </w:rPr>
            </w:pPr>
            <w:r>
              <w:rPr>
                <w:rFonts w:ascii="Times New Roman" w:cs="Times New Roman" w:eastAsia="Times New Roman" w:hAnsi="Times New Roman"/>
                <w:sz w:val="13"/>
                <w:szCs w:val="13"/>
                <w:color w:val="231F20"/>
                <w:w w:val="98"/>
              </w:rPr>
              <w:t>(14,479)</w:t>
            </w:r>
          </w:p>
        </w:tc>
      </w:tr>
      <w:tr>
        <w:trPr>
          <w:trHeight w:val="203"/>
        </w:trPr>
        <w:tc>
          <w:tcPr>
            <w:tcW w:w="5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35,637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center"/>
              <w:ind w:left="417"/>
              <w:spacing w:after="0"/>
              <w:rPr>
                <w:sz w:val="20"/>
                <w:szCs w:val="20"/>
                <w:color w:val="auto"/>
              </w:rPr>
            </w:pPr>
            <w:r>
              <w:rPr>
                <w:rFonts w:ascii="Times New Roman" w:cs="Times New Roman" w:eastAsia="Times New Roman" w:hAnsi="Times New Roman"/>
                <w:sz w:val="13"/>
                <w:szCs w:val="13"/>
                <w:color w:val="231F20"/>
                <w:w w:val="94"/>
              </w:rPr>
              <w:t>55,774</w:t>
            </w:r>
          </w:p>
        </w:tc>
      </w:tr>
      <w:tr>
        <w:trPr>
          <w:trHeight w:val="30"/>
        </w:trPr>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66"/>
        </w:trPr>
        <w:tc>
          <w:tcPr>
            <w:tcW w:w="58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45,461</w:t>
            </w:r>
          </w:p>
        </w:tc>
        <w:tc>
          <w:tcPr>
            <w:tcW w:w="100" w:type="dxa"/>
            <w:vAlign w:val="bottom"/>
          </w:tcPr>
          <w:p>
            <w:pPr>
              <w:spacing w:after="0"/>
              <w:rPr>
                <w:sz w:val="14"/>
                <w:szCs w:val="14"/>
                <w:color w:val="auto"/>
              </w:rPr>
            </w:pPr>
          </w:p>
        </w:tc>
        <w:tc>
          <w:tcPr>
            <w:tcW w:w="54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center"/>
              <w:ind w:left="417"/>
              <w:spacing w:after="0"/>
              <w:rPr>
                <w:sz w:val="20"/>
                <w:szCs w:val="20"/>
                <w:color w:val="auto"/>
              </w:rPr>
            </w:pPr>
            <w:r>
              <w:rPr>
                <w:rFonts w:ascii="Times New Roman" w:cs="Times New Roman" w:eastAsia="Times New Roman" w:hAnsi="Times New Roman"/>
                <w:sz w:val="13"/>
                <w:szCs w:val="13"/>
                <w:color w:val="auto"/>
                <w:w w:val="94"/>
              </w:rPr>
              <w:t>41,295</w:t>
            </w:r>
          </w:p>
        </w:tc>
      </w:tr>
      <w:tr>
        <w:trPr>
          <w:trHeight w:val="30"/>
        </w:trPr>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-299720</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60"/>
          </w:cols>
          <w:pgMar w:left="320" w:top="513" w:right="339" w:bottom="1440" w:gutter="0" w:footer="0" w:header="0"/>
          <w:type w:val="continuous"/>
        </w:sectPr>
      </w:pPr>
    </w:p>
    <w:p>
      <w:pPr>
        <w:spacing w:after="0" w:line="7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tabular amounts and shares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BuzzFeed, Inc. (referred to herein, collectively with its subsidiaries, as “BuzzFeed” or the “Company”) is a premier digital media company for the most diverse, most online, and most socially connected generations the world has ever seen. Across entertainment, news, food, pop culture and commerce, our brands drive conversation and inspire what audiences watch, read, and buy now — and into the future. The Company’s iconic, globally-loved brands include BuzzFeed, HuffPost, Tasty, and First We Feast (including Hot Ones). BuzzFeed derives its revenue primarily from advertising, content, and commerce and other sold to leading brands. The Company has one reportable segment.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pursuant to subscription agreements entered into in connection with the consummation of the Business Combination, the Company issued, and certain investors purchased, $150.0 million aggregate principal amount of unsecured convertible notes due 2026 (the “Notes”) concurrently with the closing of the Business Combination. As a result of the sale of certain assets relating to the business of Complex Networks, as discussed within Note 19 herein (the “Disposition”), the Company repaid approximately $30.9 million of the Notes on March 7, 2024. The Company also repaid approximately $0.3 million of the Notes on June 21, 2024, leaving approximately $118.8 million aggregate principal amount of Notes outstanding as of June 30, 2024. Refer to Note 19 herein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 in accordance with U.S. GAAP. The presence of the following risks and uncertainties associated with the Company’s financial condition may adversely affect the Company’s ability to sustain its operations over the next 12 months beyond the issuance date.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generally incurred significant losses and used net cash flows from operations to grow its owned and operated properties and its iconic brands. During the six months ended June 30, 2024, the Company incurred a net loss of $43.1 million (and a net loss of $33.1 million from continuing operations) and used net cash flows from its operations of $25.7 million (and net cash used in operating activities from continuing operations was $16.8 million). Additionally, as of June 30, 2024, the Company had unrestricted cash and cash equivalents of $45.5 million to fund its operations and an accumulated deficit of $655.0 million.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described in Note 8 herein, the Company repaid approximately $30.9 million and $0.3 million of the Notes on March 7, 2024 and June 21, 2024, respectively, leaving approximately $118.8 million aggregate principal amount of Notes outstanding as of June 30, 2024. As described in Note 8 herein, each holder of a Note has the right under the indenture governing the Notes to require the Company to repurchase, for cash, all or a portion of the Notes held by such holder (i) at any time on or after December 3, 2024,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Moreover, the Company will be required to repay the Notes, in cash, at their maturity, unless earlier converted, redeemed, or repurchased. In the event some or all of the holders of the Notes exercise their call rights, the Company currently does not have sufficient cash on hand or projected cash flows to fund the potential call. The Company’s failure to comply with the provisions of the indenture governing the Notes, including the Company’s failure to repurchase the Notes, as required by the indenture, could trigger an event of default under the indenture, which would allow the holders of Notes to accelerate the maturity of the Notes and require the Company to repay the Notes prior to their maturity. In addition, 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February 28, 2024, the Company amended the indenture governing the Notes to provide that, among other things, 95% of the net proceeds of future asset sales must be used to repay the Notes.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address its capital needs, the Company may explore options to restructure its outstanding debt, and is working with advisors to optimize its condensed consolidated balance sheet. However, the Company can provide no assurance that it will generate sufficient cash inflows from operations, or that it will be successful in obtaining such new financing, or in optimizing its condensed consolidated balance sheet in a manner necessary to fund its obligations as they become due over the next 12 months beyond the issuance date. Additionally, the Company may implement incremental cost savings actions and pursue additional sources of outside capital to supplement its funding obligations as they become due, which may include additional offerings of its Class A common stock under the at-the-market offering (as described in Note 9 herein). As of the issuance date, no additional sources of outside capital have been secured or were deemed probable of being secured, other than the Company’s at-the-market-offering, which is subject to the conditions contained in the At-The-Market Offering Agreement dated June 20, 2023 with Craig-Hallum Capital Group LLC. The Company can provide no assurance it will successfully generate sufficient liquidity to fund its operations for the next 12 months beyond the issuance date, or if necessary, secure additional outside capital (including through the Company’s at-the-market-offering) or implement incremental cost savings.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on an ongoing basis, the Company is evaluating strategic changes to its operations, including asset divestitures, restructuring,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As of the issuance date, the Company continues to work with its external advisors to optimize its condensed consolidated balance sheet and evaluate its assets.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uncertainties raise substantial doubt about the Company’s ability to continue as a going concern. The accompanying condensed consolidated financial statements have been prepared on the basis that the Company will continue to operate as a going concern, which contemplates that it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and applicable rules and regulations of the Securities and Exchange Commission regarding interim financial reporting. Certain information and note disclosures normally included in the financial statements prepared in accordance with U.S.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2023, as disclosed in the Company’s Annual Report on Form 10-K for the year ended December 31, 2023.</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held its 2024 annual meeting of stockholders on April 25, 2024 (the “2024 Annual Meeting”), and, at the 2024 Annual Meeting, the Company’s stockholders approved the grant of discretionary authority to the Company’s board of directors to (1) amend the Company’s Second Amended and Restated Certificate of Incorporation, as amended (the “Certificate of Incorporation”), to combine outstanding shares of each of the Company’s Class A common stock and the Company’s Class B common stock into a lesser number of outstanding shares of Class A common stock and Class B</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as the case may be, at a specific ratio within a range of one-for-two (1-for-2) to a maximum of a one-for-twenty five (1-for-25), with the exact ratio to be determined by the Company’s board of directors in its sole discretion; and (2) effect such reverse stock split, if at all, within one year of the date the proposal was approved by the Company’s stockholders (i.e., by April 25, 2025).</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board of directors subsequently approved effecting a reverse stock split, effective as of May 6, 2024, and fixed a ratio for the reverse stock split at one-for-four (1-for-4). On April 26, 2024, the Company filed an amendment to the Certificate of Incorporation with the Secretary of State of the State of Delaware (the “Certificate of Amendment”). The Certificate of Amendment effected a reverse stock split of the Class A common stock and Class B common stock at a ratio of one-for-four (1-for-4) (the “Reverse Stock Split”), effective as of 12:01 a.m., Eastern Time, on May 6, 2024. The Class A common stock began trading on a split-adjusted basis on Nasdaq on May 6, 2024, under the existing symbol “BZFD,” but the security has a new CUSIP number of 12430A300. The Public Warrants (as defined in Note 4 herein) continued to be traded under the symbol “BZFDW” and the CUSIP identifier for Public Warrants remain unchanged.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Reverse Stock Split, every four shares of the Company’s Class A common stock and the Company’s Class B common stock issued and outstanding immediately prior to the Reverse Stock Split were converted into one share of Class A common stock and Class B common stock, as the case may be, after the Reverse Stock Split. The Reverse Stock Split applied uniformly to all holders of Class A common stock and Class B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up to the nearest whole share. Pursuant to the terms of the agreement governing the Public and Private Warrants, fractional shares of Class A common stock will not be issued upon exercise of a warrant, and if a holder of a warrant would be entitled to receive, upon the exercise thereof, a fractional interest in a share of Class A common stock, the Company will round down to the nearest whole number the number of shares of Class A Common Stock to be issued to such holder.</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otherwise noted, all shares of Class A common stock and Class B common stock, including shares of Class A common stock underlying the Public Warrants and Private Warrants (as defined in Note 4 herein), stock options, restricted stock units, and the Notes, shares of Class A common stock available for grant under the Company’s equity incentive plans, shares of Class A common stock sold and available for sale under the Company’s at-the-market offering, and all conversion ratios, exercise prices, and per share information with respect thereto in the condensed consolidated financial statements have been retroactively adjusted to reflect the one-for-four (1-for-4) Reverse Stock Split, as if the split occurred at the beginning of the earliest period presented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 and Held for Sale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consolidated statement of operations; and (iii) assets and liabilities are reported as held for sale in the consolidated balance sheets in the period in which the business is classified as held for sale.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concluded the assets of the Complex Networks business, excluding the First We Feast brand, met the criteria for classification for held for sale as of December 31, 2023. Additionally, the Company determined the disposal (i.e., the Disposition), which took place on February 21, 2024, represented a strategic shift that had a major effect on our operations and financial results. As such, the results of Complex Networks, excluding First We Feast, are presented as discontinued operations in the condensed consolidated statements of operations for all periods presented. Prior periods have been adjusted to conform to the current presentation. The assets of Complex Networks have been reflected as assets of discontinued operations in the condensed consolidated balance sheet for the year ended December 31, 2023. Refer to Note 19 herein for additional details.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Key estimates and assumptions relate primarily to revenue recognition, fair values of intangible assets acquired in business combinations, valuation allowances for deferred income tax assets, allowance for doubtful accounts, useful lives of fixed assets, and capitalized software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all cash the use of which is limited by contractual provisions as restricted cash. In the first quarter of 2024, the Company cash collateralized the $15.5 million letters of credit then-outstanding under the Revolving Credit Facility (as defined in Note 8 herein) in the amount of $17.1 million. As such, the $17.1 million was classified as restricted cash within the condensed consolidated balance sheet as of March 31, 2024. However, during the second quarter of 2024, the Company terminated the letters of credit outstanding under the Revolving Credit Facility and therefore the aforementioned $17.1 million is no longer classified as restricted cash as of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 emerging growth company,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Although the ASU only requires additional disclosures about the Company’s single operating segment, the Company is currently evaluating the impact of adopting this guidance on the condensed consolidated financial statements.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Public companies are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The Company is currently evaluating the impact of adopting this guidance on the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942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Disaggregated Revenue</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23,814</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56,805</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11,369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21,739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Commerce and 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11,749</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46,932</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62,128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117,036</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44,206</w:t>
            </w:r>
          </w:p>
        </w:tc>
        <w:tc>
          <w:tcPr>
            <w:tcW w:w="8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57,685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46,932</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62,128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117,036</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can result in billed accounts receivable, unbilled revenue (contract assets), and deferred revenues (contract liabilities). The payment terms and conditions within the Company’s contracts vary by type, but the substantial majority require that customers pay for their services on a monthly or quarterly basis, as the services are being provided. When the timing of revenue recognition differs from the timing of payments made by customers, the Company recognizes either unbilled revenue (when performance precedes the billing date) or deferred revenue (when customer payment is received in advance of performance). The Company has determined its contracts generally do not include a significant financing component.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assets are presented in prepaid and other current assets on the accompanying condensed consolidated balance sheets and totaled $6.2 million and $8.3 million as of June 30, 2024 and December 31, 2023, respectively. These amounts relate to revenue recognized during the respective period that is expected to be invoiced and collected in future periods.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which are recorded in deferred revenue on the accompanying condensed consolidated balance sheets, are expected to be recognized as revenues during the succeeding 12-month period. Deferred revenue totaled $1.0 million and $1.9 million as of June 30, 2024 and December 31, 2023,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six months ended June 30, 2024 that was included in the deferred revenue balance as of December 31, 2023 was $1.8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certain licensing contracts with minimum guarantees and terms extending beyond one year. Revenue to be recognized related to the remaining performance obligations was $3.0 million as of June 30, 2024 and is generally expected to be recognized over the next one to three years. This amount does not include: (i) contracts with an original expected duration of one year or less, such as advertising contracts; (ii) variable consideration in the form of sales-based royalties; or (iii) variable consideration allocated entirely to wholly unperformed performance obligations.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contract, 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are summarized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w:t>
            </w:r>
          </w:p>
        </w:tc>
      </w:tr>
      <w:tr>
        <w:trPr>
          <w:trHeight w:val="237"/>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16,339</w:t>
            </w:r>
          </w:p>
        </w:tc>
      </w:tr>
      <w:tr>
        <w:trPr>
          <w:trHeight w:val="27"/>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4"/>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10"/>
        </w:trPr>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50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w:t>
            </w:r>
          </w:p>
        </w:tc>
      </w:tr>
      <w:tr>
        <w:trPr>
          <w:trHeight w:val="237"/>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p>
        </w:tc>
        <w:tc>
          <w:tcPr>
            <w:tcW w:w="1100" w:type="dxa"/>
            <w:vAlign w:val="bottom"/>
            <w:tcBorders>
              <w:top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25,306</w:t>
            </w:r>
          </w:p>
        </w:tc>
      </w:tr>
      <w:tr>
        <w:trPr>
          <w:trHeight w:val="27"/>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5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warrant liability as of June 30, 2024 and December 31, 2023 includes public and private warrants that were originally issued by 890, but which were assumed by the Company as part of the closing of the Business Combination (the “Public Warrants” and “Private Warrants,” respectively), which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$0.11 and $0.04 as of June 30, 2024 and December 31, 2023, respectively.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As of December 31, 2023, the Company determined the fair value of the derivative liability was immaterial as (i) the closing share price of our Class A common stock was $1.00 as of December 29, 2023, and (ii) each holder of a Note will have the right to require the Company to repurchase, for cash, all or a portion of the Notes held by such holder at any time on or after December 3, 2024 (see Note 8 herein for additional details). The fair value of the embedded derivative continues to be immaterial as of June 30, 2024.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six months ended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equity investments in entities over which the Company does not exercise significant influence,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Company had an investment in equity securities of a privately-held company without a readily determinable fair value. The total carrying value of the investment, included in prepaid and other assets on the condensed consolidated balance sheets, was $0.8 million as of both June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equipment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(44,557)</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344" w:lineRule="auto"/>
        <w:rPr>
          <w:sz w:val="20"/>
          <w:szCs w:val="20"/>
          <w:color w:val="auto"/>
        </w:rPr>
      </w:pPr>
      <w:r>
        <w:rPr>
          <w:rFonts w:ascii="Times New Roman" w:cs="Times New Roman" w:eastAsia="Times New Roman" w:hAnsi="Times New Roman"/>
          <w:sz w:val="18"/>
          <w:szCs w:val="18"/>
          <w:color w:val="auto"/>
        </w:rPr>
        <w:t>Depreciation totaled $1.6 million and $1.7 million for the three months ended June 30, 2024 and 2023, respectively, and $3.1 million and $3.4 million for the six months ended June 30, 2024 and 2023, respectively, included in depreciation and amortization expense.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Capitalized Software Costs,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costs,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Website and internal-use software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6"/>
              </w:rPr>
              <w:t>87,062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82,138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Pr>
          <w:p>
            <w:pPr>
              <w:spacing w:after="0"/>
              <w:rPr>
                <w:sz w:val="21"/>
                <w:szCs w:val="21"/>
                <w:color w:val="auto"/>
              </w:rPr>
            </w:pPr>
          </w:p>
        </w:tc>
        <w:tc>
          <w:tcPr>
            <w:tcW w:w="126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rPr>
              <w:t>(64,409)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rPr>
              <w:t>(59,846)</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6"/>
              </w:rPr>
              <w:t>22,653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22,292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capitalized $3.1 million and $3.7 million for the three months ended June 30, 2024 and 2023, respectively, and $6.4 million and $7.7 million for the six months ended June 30, 2024 and 2023, respectively, included in capitalized software costs, net. The Company amortized $2.6 million and $2.5 million for the three months ended June 30, 2024 and 2023, respectively, and $6.1 million and $5.4 million for the six months ended June 30, 2024 and 2023, respectively, included in depreciation and amortization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intangible assets for the periods presented and the weighted average remaining useful lives: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2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Technology</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23,846</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1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Indefinite</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Indefinite</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0" w:type="dxa"/>
            <w:vAlign w:val="bottom"/>
          </w:tcPr>
          <w:p>
            <w:pPr>
              <w:spacing w:after="0"/>
              <w:rPr>
                <w:sz w:val="1"/>
                <w:szCs w:val="1"/>
                <w:color w:val="auto"/>
              </w:rPr>
            </w:pPr>
          </w:p>
        </w:tc>
      </w:tr>
      <w:tr>
        <w:trPr>
          <w:trHeight w:val="37"/>
        </w:trPr>
        <w:tc>
          <w:tcPr>
            <w:tcW w:w="252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intangible assets, the Company amortized $0.6 million and $1.1 million for the three months ended June 30, 2024 and 2023, respectively, and $1.5 million and $2.2 million for the six months ended June 30, 2024 and 2023, respectively, included in depreciation and amortization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Estimated future amortization expense as of June 30, 2024 is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annually as of October 1 and more frequently if events or changes in circumstances indicate an impairment may exist (a “triggering event”). As of June 30, 2024, the Company had $57.6 million of goodwill recorded on its condensed consolidated balance sheet. The Company concluded there were no impairment triggering events as of, and for, the three and six months ended June 30, 2024.</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30, 2020, the Company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the Company’s landlords. The Company had outstanding letters of credit of $15.5 million under the Revolving Credit Facility at December 31, 2023 (none at June 30, 2024, as described below).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2024, in connection with the Disposition discussed within Note 19 herein, the Company terminated the Revolving Credit Facility, except for the $15.5 million in letters of credit outstanding. However, during the second quarter of 2024, the Company terminated the $15.5 million in letters of credit outstanding under the Revolving Credit Facility, resulting in the full termination of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Letters of Credit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entered into an agreement with a financial institution for standby letters of credit in the amount of $15.5 million, which were issued during the second quarter of 2024 in favor of certain of the Company’s landlords and remain outstanding as of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The Notes are convertible into shares of our Class A common stock at a conversion price of approximately $50.00 and bear interest at a rate of 8.50% per annum, payable semi-annually. The Notes mature on December 3, 2026. As of June 30, 2024, the Notes were convertible into approximately 2,375,347 shares of our Class A common stock.</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may, at its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prior to December 3, 2024, the Company will be obligated to pay an amount in cash equal to 12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holder of a Note has the right under the indenture governing the Notes to require the Company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In addition, a failure to comply with the provisions of the indenture governing our Notes could trigger an event of default under the indenture, which would allow the holders of Notes to accelerate the maturity of the Notes and require the Company to repay the Notes prior to their maturity. Moreover, the Company will be required to repay the Notes, in cash, at their maturity, unless earlier converted, redeemed, or repurchased.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the Company’s ability to incur additional debt or liens, make restricted payments or investments, dispose of significant assets, transfer specified intellectual property, or enter into transactions with affiliates. Additionally, on February 28, 2024, in connection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Disposition, the indenture governing the Notes was amended to, among other things, provide that 95% of the net proceeds of future asset sales must be used to repay the Notes.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7, 2024, in connection with the Disposition, the Company repaid approximately $30.9 million of the Notes. In connection with the repayment, the Company determined the modified debt terms were not substantially different from the original terms and applied modification accounting. The Company derecognized approximately 20.6% of the unamortized debt discount and issuance costs, which resulted in an approximately $4.9 million loss on partial debt extinguishment that was attributed to the discontinued operation. Additionally, on June 21, 2024, the Company repaid approximately $0.3 million of the Notes in connection with an asset sale (refer to Note 19 herein for additional details). As of June 30, 2024, there was approximately $118.8 million aggregate principal amount of Notes outstanding.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condensed consolidated statements of operations. As of December 31, 2023, the Company determined the fair value of the derivative liability was immaterial as (i) the closing share price of our Class A common stock was $1.00 as of December 29, 2023, and (ii) each holder of a Note has the right to require the Company to repurchase, for cash, all or a portion of the Notes held by such holder at any time on or after December 3, 2024 (i.e., the third anniversary of the issuance of the Notes), at a repurchase price equal the principal amount plus accrued and unpaid interest. The fair value of the embedded derivative continues to be immaterial as of June 30, 2024.</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on the Notes is recognized at an effective interest rate of 16% and totaled $3.9 million and $3.8 million for the three months ended June 30, 2024 and 2023, respectively, and $7.5 million and $7.4 million for the six months ended June 30, 2024 and 2023, respectively, of which amortization of the debt discount and issuance costs comprised $1.4 million and $1.3 million for the three months ended June 30, 2024 and 2023, respectively, and $2.5 million and $2.3 million for the six months ended June 30, 2024 and 2023, respectively. The effective interest rate of 16% was remeasured in connection with the aforementioned modification accounting and assumes a maturity date of December 3, 2026.</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carrying amount of the Notes as of June 30, 2024 and December 31, 2023 was: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81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118,767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150,000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20" w:type="dxa"/>
            <w:vAlign w:val="bottom"/>
          </w:tcPr>
          <w:p>
            <w:pPr>
              <w:spacing w:after="0"/>
              <w:rPr>
                <w:sz w:val="21"/>
                <w:szCs w:val="21"/>
                <w:color w:val="auto"/>
              </w:rPr>
            </w:pPr>
          </w:p>
        </w:tc>
        <w:tc>
          <w:tcPr>
            <w:tcW w:w="1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(17,284)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(25,023)</w:t>
            </w:r>
          </w:p>
        </w:tc>
      </w:tr>
      <w:tr>
        <w:trPr>
          <w:trHeight w:val="27"/>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101,483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124,977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Notes was approximately $92.6 million and $112.8 million as of June 30, 2024 and December 31, 2023, respectively. The fair value of the Notes was estimated using Level 3 inputs.</w:t>
      </w:r>
    </w:p>
    <w:p>
      <w:pPr>
        <w:spacing w:after="0" w:line="158" w:lineRule="exact"/>
        <w:rPr>
          <w:sz w:val="20"/>
          <w:szCs w:val="20"/>
          <w:color w:val="auto"/>
        </w:rPr>
      </w:pPr>
    </w:p>
    <w:p>
      <w:pPr>
        <w:ind w:right="9420" w:firstLine="8"/>
        <w:spacing w:after="0" w:line="503"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50,000,000 shares of preferred stock, par value $0.0001 per share. The Company’s board of directors is authorized, without further stockholder approval, to issue such preferred stock in one or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June 30, 2024 or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equity incentive plans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12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9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5"/>
                <w:szCs w:val="15"/>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49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49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1056"/>
              <w:spacing w:after="0"/>
              <w:rPr>
                <w:sz w:val="20"/>
                <w:szCs w:val="20"/>
                <w:color w:val="auto"/>
              </w:rPr>
            </w:pPr>
            <w:r>
              <w:rPr>
                <w:rFonts w:ascii="Times New Roman" w:cs="Times New Roman" w:eastAsia="Times New Roman" w:hAnsi="Times New Roman"/>
                <w:sz w:val="18"/>
                <w:szCs w:val="18"/>
                <w:color w:val="auto"/>
                <w:w w:val="95"/>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9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1600" w:type="dxa"/>
            <w:vAlign w:val="bottom"/>
            <w:gridSpan w:val="2"/>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56"/>
              <w:spacing w:after="0"/>
              <w:rPr>
                <w:sz w:val="20"/>
                <w:szCs w:val="20"/>
                <w:color w:val="auto"/>
              </w:rPr>
            </w:pPr>
            <w:r>
              <w:rPr>
                <w:rFonts w:ascii="Times New Roman" w:cs="Times New Roman" w:eastAsia="Times New Roman" w:hAnsi="Times New Roman"/>
                <w:sz w:val="18"/>
                <w:szCs w:val="18"/>
                <w:color w:val="auto"/>
                <w:w w:val="95"/>
              </w:rPr>
              <w:t>9.62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at June 30,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1056"/>
              <w:spacing w:after="0"/>
              <w:rPr>
                <w:sz w:val="20"/>
                <w:szCs w:val="20"/>
                <w:color w:val="auto"/>
              </w:rPr>
            </w:pPr>
            <w:r>
              <w:rPr>
                <w:rFonts w:ascii="Times New Roman" w:cs="Times New Roman" w:eastAsia="Times New Roman" w:hAnsi="Times New Roman"/>
                <w:sz w:val="18"/>
                <w:szCs w:val="18"/>
                <w:color w:val="auto"/>
                <w:w w:val="95"/>
              </w:rPr>
              <w:t>9.62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June 30, 2024</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56"/>
              <w:spacing w:after="0"/>
              <w:rPr>
                <w:sz w:val="20"/>
                <w:szCs w:val="20"/>
                <w:color w:val="auto"/>
              </w:rPr>
            </w:pPr>
            <w:r>
              <w:rPr>
                <w:rFonts w:ascii="Times New Roman" w:cs="Times New Roman" w:eastAsia="Times New Roman" w:hAnsi="Times New Roman"/>
                <w:sz w:val="18"/>
                <w:szCs w:val="18"/>
                <w:color w:val="auto"/>
                <w:w w:val="95"/>
              </w:rPr>
              <w:t>3.17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9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total share-based compensation costs not yet recognized related to unvested stock options was $10.2 million, which is expected to be recognized over the weighted-average remaining requisite service period of 1.6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(“RSU”) activity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0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43"/>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there were approximately $3.1 million of unrecognized compensation costs related to RSUs.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the condensed consolidated statements of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r>
      <w:tr>
        <w:trPr>
          <w:trHeight w:val="37"/>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7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negative stock-based compensation expense for the six months ended June 30, 2023 for research and development was due to forfeitures.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21, 2023, the Company filed a shelf registration statement on Form S-3 (the “Shelf Registration Statement”) under which the Company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may, from time to time, sell up to 3,316,503 shares of its Class A common stock. As of June 30, 2024, the Company had sold, in the aggregate, 517,385 shares of its Class A common stock, at an average price of $2.08 per share, for aggregate net proceeds of $0.9 million after deducting commissions and offering expenses. The Company used the aggregate net proceeds for general corporate purposes, and the Company had 2,799,118 remaining shares available under the At-The-Market-Offering Agreement. In July 2024, the Company increased the size of the offering available under the At-The-Market-Offering Agreement. Refer to Note 20 herein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loss per share is computed using the two-class method. Basic net loss per share is computed using the weighted average number of shares of common stock outstanding for the period. Diluted net loss per share reflects the effect of the assumed exercise of any stock options, the vesting of any restricted stock units, the exercise of any warrants (including the Public Warrants and the Private Warrants), the conversion of any convertible debt (including the Notes), and the conversion of any convertible preferred stock, in each case only in the periods in which such effect would have been dilutive.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and 2023, net loss per share amounts were the same for Class A and Class B common stock because the holders of each class are entitled to equal per share dividends. There were no shares of Class C common stock outstanding for any period presented.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loss per share: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(6,483)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50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attributable to holders of Class A and Class B common</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(7,487)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(63,837)</w:t>
            </w:r>
          </w:p>
        </w:tc>
      </w:tr>
      <w:tr>
        <w:trPr>
          <w:trHeight w:val="237"/>
        </w:trPr>
        <w:tc>
          <w:tcPr>
            <w:tcW w:w="50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BuzzFeed, Inc. for net loss per common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 basic and diluted: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90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(7,487)</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(63,837)</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35,332</w:t>
            </w: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01"/>
        </w:trPr>
        <w:tc>
          <w:tcPr>
            <w:tcW w:w="50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loss per common share, basic and diluted, attributable to</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6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BuzzFeed, Inc.</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loss per share information is presented on a rounded basis using actual amounts. Minor differences in totals may exist due to rounding.</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numerator for net loss per basic and diluted common share from continuing operations excludes the impact of net income (loss) attributable to the noncontrolling interests for all periods presented.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details of securities that were excluded from the calculation of diluted loss per share as the effect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020" w:type="dxa"/>
            <w:vAlign w:val="bottom"/>
            <w:gridSpan w:val="2"/>
          </w:tcPr>
          <w:p>
            <w:pPr>
              <w:ind w:left="5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7"/>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66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7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47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7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and the discrete impact of finalization of Canadian tax return filings.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the Company announced plans to reduce expenses by implementing an approximately 16% reduction in the then-current workforce (after the Disposition, as discussed within Note 19 herein). In doing so, the Company reduced the size of its centralized operations to enable its individual brands to operate with more autonomy and deliver against their differentiated value propositions for advertisers. The reduction in workforce plan was intended to position the Company to be more agile, sustainable, and profitable. The Company incurred approximately $2.9 million of restructuring costs for the six months ended June 30, 2024, comprised mainly of severance and related benefits costs, of which $1.2 million were included in cost of</w:t>
      </w:r>
    </w:p>
    <w:p>
      <w:pPr>
        <w:spacing w:after="0" w:line="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revenue, excluding depreciation and amortization, $1.5 million were included in sales and marketing, and $0.2 million were included in general and administrative.</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accordance with the Asset Purchase Agreement (the “Complex Sale Agreement”), dated as of February 21, 2024 between a wholly-owned subsidiary of the Company and Commerce Media Holdings, LLC., pursuant to which the Disposition was consummated, Commerce Media reimbursed the Company for approximately $1.8 million in payments related to “Non-Transferring Employees” (as defined in the Complex Sale Agreement), including severance. The amount of these severance and related charges are not included within the restructuring charges noted above. The Company treated the reimbursement as an expense reimbursement.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the Company announced plans to reduce expenses by implementing an approximately 15% reduction in the then-current workforce. The reduction in workforce plan was part of a broader strategic reprioritization across the Company in order to improve upon profitability and cash flow. The Company incurred approximately $6.8 million of restructuring costs for the three months ended June 30,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leases office space under non-cancelable operating leases with various expiration dates through 2029. The Company accounts for leases under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subleases certain leased office space to third parties when it determines there is excess leased capacity. On July 8, 2022, the Company entered into a sublease with a third party with respect to substantially all of the Company’s then-existing corporate headquarters. The sublease commenced on August 26, 2022 and expires on May 30, 2026, unless terminated sooner in accordance with the provisions of the sublease. Pursuant to the terms of the sublease, the subtenant pays a fixed monthly rent of $0.8 million, subject to periodic increases. In-lieu of a cash security deposit, the Company received a letter of credit from Citibank for approximately $4.5 million. On February 21, 2024, in connection with the Disposition, the Company licensed the use of office space in our corporate headquarters. Refer to Note 19 herein for further details on this arrangement.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illustrates the lease costs for the three and six months ended June 30,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shd w:val="clear" w:color="auto" w:fill="CCEEFF"/>
          </w:tcPr>
          <w:p>
            <w:pPr>
              <w:spacing w:after="0"/>
              <w:rPr>
                <w:sz w:val="19"/>
                <w:szCs w:val="19"/>
                <w:color w:val="auto"/>
              </w:rPr>
            </w:pP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6,117</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7,615</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12,294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15,062</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(4,409)</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1,708</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3,721</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components of total lease cost are recorded within general and administrative expenses within the condensed consolidated statement of operations. The Company does not have material short-term or variable lease costs.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amounts were recorded in the Company’s condensed consolidated balance sheets related to operating leases: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46,715</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13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 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0" w:type="dxa"/>
            <w:vAlign w:val="bottom"/>
          </w:tcPr>
          <w:p>
            <w:pPr>
              <w:spacing w:after="0"/>
              <w:rPr>
                <w:sz w:val="1"/>
                <w:szCs w:val="1"/>
                <w:color w:val="auto"/>
              </w:rPr>
            </w:pPr>
          </w:p>
        </w:tc>
      </w:tr>
      <w:tr>
        <w:trPr>
          <w:trHeight w:val="27"/>
        </w:trPr>
        <w:tc>
          <w:tcPr>
            <w:tcW w:w="8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540"/>
        </w:trPr>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June 30, 2024 were as follows: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79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56,951</w:t>
            </w:r>
          </w:p>
        </w:tc>
        <w:tc>
          <w:tcPr>
            <w:tcW w:w="0" w:type="dxa"/>
            <w:vAlign w:val="bottom"/>
          </w:tcPr>
          <w:p>
            <w:pPr>
              <w:spacing w:after="0"/>
              <w:rPr>
                <w:sz w:val="1"/>
                <w:szCs w:val="1"/>
                <w:color w:val="auto"/>
              </w:rPr>
            </w:pPr>
          </w:p>
        </w:tc>
      </w:tr>
      <w:tr>
        <w:trPr>
          <w:trHeight w:val="243"/>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49,039</w:t>
            </w:r>
          </w:p>
        </w:tc>
        <w:tc>
          <w:tcPr>
            <w:tcW w:w="0" w:type="dxa"/>
            <w:vAlign w:val="bottom"/>
          </w:tcPr>
          <w:p>
            <w:pPr>
              <w:spacing w:after="0"/>
              <w:rPr>
                <w:sz w:val="1"/>
                <w:szCs w:val="1"/>
                <w:color w:val="auto"/>
              </w:rPr>
            </w:pPr>
          </w:p>
        </w:tc>
      </w:tr>
      <w:tr>
        <w:trPr>
          <w:trHeight w:val="20"/>
        </w:trPr>
        <w:tc>
          <w:tcPr>
            <w:tcW w:w="9640" w:type="dxa"/>
            <w:vAlign w:val="bottom"/>
            <w:tcBorders>
              <w:top w:val="single" w:sz="8" w:color="CCEEFF"/>
              <w:bottom w:val="single" w:sz="8" w:color="CCEEFF"/>
            </w:tcBorders>
            <w:gridSpan w:val="3"/>
            <w:vMerge w:val="restart"/>
          </w:tcPr>
          <w:p>
            <w:pPr>
              <w:ind w:left="660"/>
              <w:spacing w:after="0"/>
              <w:rPr>
                <w:sz w:val="20"/>
                <w:szCs w:val="20"/>
                <w:color w:val="auto"/>
              </w:rPr>
            </w:pPr>
            <w:r>
              <w:rPr>
                <w:rFonts w:ascii="Times New Roman" w:cs="Times New Roman" w:eastAsia="Times New Roman" w:hAnsi="Times New Roman"/>
                <w:sz w:val="18"/>
                <w:szCs w:val="18"/>
                <w:color w:val="auto"/>
              </w:rPr>
              <w:t>Sublease receipts to be received in the future under noncancelable subleases as of June 30, 2024 were as follows:</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6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79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420" w:firstLine="8"/>
        <w:spacing w:after="0" w:line="503"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Guarantees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settled or resolved certain legal matters during the three months ended June 30, 2024 and 2023 that did not individually or in the aggregate have a material impact on the Company’s business or its condensed consolidated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Privacy Protection Act: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16, 2023, a lawsuit titled Hunthausen v. BuzzFeed, Inc. was filed against the Company in the United States District Court for the Southern District of California, asserting class action claims for alleged violation of the Video</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Privacy Protection Act (“VPPA”)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The matter was settled on January 4, 2024 and is now disposed.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4, 2023, the Company received 8,927 individual demands for JAMS arbitration in California, all of which allege that the Company violated the VPPA by transmitting personally identifying information via the Meta pixel, purportedly connected to posts on the BuzzFeed website. Each claimant was seeking to recover damages in the amount of $2,500 (actual dollars) for each alleged violation of the VPPA. The Company provisionally settled these claims on January 29, 2024 as part of an agreed class action settlement in the matter titled Peters v. BuzzFeed, Inc., pending in the Circuit Court of the 17th Judicial Circuit in Broward County, Florida.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15, 2023, the Company received (1) 5,247 individual demands for JAMS arbitration in California, all of which allege that the Company violated the VPPA by transmitting personally identifying information via the use of various pixels purportedly in connection with the HuffPost.com website; and (2) 12,176 individual demands for JAMS arbitration in California, all of which allege that the Company violated the VPPA by transmitting personal identifying information via the use of various pixels purportedly in connection with the BuzzFeed.com website. Each claimant was seeking to recover damages in the amount of $2,500 (actual dollars) for each alleged violation of the VPPA, as well as punitive damages, attorneys’ fees and costs, and equitable relief. The Company settled these claims on January 16, 2024 and the settlement has since been paid.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31, 2023, the Company received 590 individual demands for JAMS arbitration in California, all of which allege that the Company violated the VPPA by transmitting personally identifying information via the use of various pixels purportedly in connection with the BuzzFeed.com website. Each claimant was seeking to recover damages in the amount of $2,500 (actual dollars) for each alleged violation of the VPPA. The Company provisionally settled these claims on January 29, 2024 as part of an agreed class action settlement in the matter titled Peters v. BuzzFeed, Inc., pending in the Circuit Court of the 17th Judicial Circuit in Broward County, Florida.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Mass Arbitrations: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Two mass arbitrations (the “Arbitrations”) were initiated before the American Arbitration Association (the “AAA”)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therefore not arbitrable. The complaint seeks declaratory and injunctive relief. The parties cross-moved for summary judgment.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20, 2023, the Court of Chancery heard oral arguments on the Company’s motion for summary judgment and the Claimants’ cross-motion to dismiss the Company’s complaint. On May 15, 2024, the Delaware Chancery Court ruled that the AAA was to determine whether the matter was arbitrable for those claimants who had produced employment agreements containing arbitration clauses. On June 13, 2024, the Company wrote to the AAA requesting that it continue to stay the arbitrations because there remained six claimants who had not established that they had employment agreements containing arbitration clauses and, therefore, the Delaware Chancery Court retained jurisdiction to adjudicate those six claims. Claimants opposed and, on June 18, 2024, the AAA indicated that it planned to move the arbitration forward with respect to the 85 claimants whose claims had been resolved by the Delaware Chancery Court, notwithstanding that six claimants still remained before that court. The matter is ongoing.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Invasion of Privacy Act</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11, 2024, a lawsuit titled Chih-Yuan Chang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v. BuzzFeed, Inc. was filed against the Company in the Southern District of New York, alleging that the Company, by causing the Sharethrough, IQM, and Dotomi trackers to be installed on website visitors’ internet browsers, is collecting visitors’ personal identifying information without their consent, in violation of the California Invasion of Privacy Act (CIPA). Plaintiff, additionally, seeks class certification. This matter was provisionally settled on July 9,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Compliance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Bid Requirement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31, 2023, as expected, the Company received a letter from Nasdaq’s Listing Qualifications Department (the “Nasdaq Staff”) notifying the Company that, for the previous 30 consecutive business days, the bid price for the Company’s Class A common stock had closed below the minimum $1.00 per share requirement for continued listing on The Nasdaq Global Market under Nasdaq Listing Rule 5550(a)(2) (the “Bid Price Requirement”). In connection with the Company’s application to obtain additional time to regain compliance, as of the opening of business November 30, 2023, the Company’s Class A common stock and warrants were transferred to The Nasdaq Capital Market, which operates in substantially the same manner as The Nasdaq Global Market, where they continue to trade under the symbols “BZFD” and “BZFDW,” respectively. As disclosed in Note 2 herein, to increase the bid price of our Class A common stock, the Company effected the Reverse Stock Split on May 6, 2024. As of May 17, 2024, the closing bid price of the Company’s Class A common stock had been over $1.00 per share for a minimum of 10 consecutive business days. On May 20, 2024, the Nasdaq Staff confirmed that the Company had regained compliance with the Bid Price Requirement.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Requirement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Patrick Kerins, who was a member of the Company’s board of directors and its audit committee immediately prior to the 2024 Annual Meeting, did not stand for re-election as a director of the Company at that meeting. On April 26, 2024, as expected, the Company received a letter from the Nasdaq Staff notifying the Company that it was no longer in compliance with Nasdaq Listing Rule 5605(c)(2)(A), which requires that the audit committees of listed companies have a minimum of three members that satisfy certain criteria for service on the committee (the “Nasdaq Audit Committee Requirement”). The Nasdaq Staff also notified the Company that it had until the earlier of its 2025 annual meeting of stockholders and April 25, 2025 (i.e., one year from the date on which the Company ceased to be compliant) to regain compliance. On June 11, 2024, Gregory Coleman, already a member of the Company’s board of directors, was appointed to the audit committee of the board. Following the Company’s notice to the Nasdaq Staff of Mr. Coleman’s appointment to the audit committee, the Nasdaq Staff determined that the Company had regained compliance with the Nasdaq Audit Committee Requirement.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CODM, in deciding how to allocate resources and in assessing performance.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is its CODM who makes resource allocation decisions and assesses performance based upon financial information at the consolidated level. The Company manages its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as a single segment for the purpose of assessing and making operating decisions. Since the Company operates in one operating segment, all required financial segment information can be found in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recognized revenue from NBCUniversal Media, LLC (“NBCU”), previously a holder of 5% or more of our Class A common stock, of $0.2 million and $0.2 million for the three months ended June 30, 2024 and 2023, respectively, and $0.6 million and $0.7 million for the six months ended June 30, 2024 and 2023, respectively. The Company recognized expenses under contractual obligations from NBCU of $nil and $nil for the three months ended June 30, 2024 and 2023, respectively, and $nil and $nil for the six months ended June 30, 2024 and 2023, respectively. The Company had outstanding receivable balances of $0.1 million and $0.2 million from NBCU as of June 30, 2024 and December 31, 2023, respectively. The Company had an outstanding payable balance of $0.2 million to NBCU as of December 31, 2023 (none as of June 30, 2024). During the second quarter of 2024, NBCU ceased to be a holder of 5% or more of our Class A common stock.</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Verizon Ventures LLC (“Verizon”), collectively with its affiliates, is a holder of 5% or more of the Company’s Class A common stock. Verizon is the landlord for the Company’s corporate headquarters, and the Company transacts with Verizon in the normal course of business, such as with agency advertising deals and for certain utilities. The Company recognized revenue from Verizon of $0.5 million and $nil for the three months ended June 30, 2024 and 2023, respectively, and $0.5 million and $0.1 million for the six months ended June 30, 2024 and 2023, respectively. The Company recognized expenses under contractual obligations from Verizon of $1.5 million and $1.5 million for the three months ended June 30, 2024 and 2023, respectively, and $3.0 million and $3.0 million six months ended June 30, 2024 and 2023, respectively. The Company had no outstanding receivables or payables from or to Verizon as of June 30, 2024 or December 31, 2023.</w:t>
      </w:r>
    </w:p>
    <w:p>
      <w:pPr>
        <w:spacing w:after="0" w:line="185" w:lineRule="exact"/>
        <w:rPr>
          <w:sz w:val="20"/>
          <w:szCs w:val="20"/>
          <w:color w:val="auto"/>
        </w:rPr>
      </w:pPr>
    </w:p>
    <w:p>
      <w:pPr>
        <w:ind w:right="9000" w:firstLine="8"/>
        <w:spacing w:after="0" w:line="503"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Film Costs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Film costs, which were included in prepaid and other assets on the condensed consolidated balance sheets,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Feature films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9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material amortization of film costs for the three and six months ended June 30, 2024 or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Assistance</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Production tax incentives reduced capitalized film costs by $0.7 million as of December 31, 2023 (no material change as of June 30, 2024). The Company had receivables related to our production tax credits of $2.9 million and $3.5 million as of June 30, 2024 and December 31, 2023, respectively, included in prepaid and other current assets in our condensed consolidated balance sheet.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41910</wp:posOffset>
            </wp:positionV>
            <wp:extent cx="19456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62" w:lineRule="exact"/>
        <w:rPr>
          <w:sz w:val="20"/>
          <w:szCs w:val="20"/>
          <w:color w:val="auto"/>
        </w:rPr>
      </w:pPr>
    </w:p>
    <w:p>
      <w:pPr>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5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w:t>
            </w:r>
          </w:p>
        </w:tc>
      </w:tr>
      <w:tr>
        <w:trPr>
          <w:trHeight w:val="27"/>
        </w:trPr>
        <w:tc>
          <w:tcPr>
            <w:tcW w:w="8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property and equipment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deferred offering costs</w:t>
            </w:r>
          </w:p>
        </w:tc>
        <w:tc>
          <w:tcPr>
            <w:tcW w:w="5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8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Income (Expense),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net consisted of the following for the three and six months ended June 30,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gain (loss)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investment</w:t>
            </w:r>
          </w:p>
        </w:tc>
        <w:tc>
          <w:tcPr>
            <w:tcW w:w="9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(3,590)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(3,675)</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6060" w:firstLine="8"/>
        <w:spacing w:after="0" w:line="502"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Held for Sale, Discontinued Operations, Disposals, and Licenses Disposal of Complex Networks</w:t>
      </w:r>
    </w:p>
    <w:p>
      <w:pPr>
        <w:spacing w:after="0"/>
        <w:rPr>
          <w:sz w:val="20"/>
          <w:szCs w:val="20"/>
          <w:color w:val="auto"/>
        </w:rPr>
      </w:pPr>
      <w:r>
        <w:rPr>
          <w:rFonts w:ascii="Times New Roman" w:cs="Times New Roman" w:eastAsia="Times New Roman" w:hAnsi="Times New Roman"/>
          <w:sz w:val="18"/>
          <w:szCs w:val="18"/>
          <w:i w:val="1"/>
          <w:iCs w:val="1"/>
          <w:color w:val="auto"/>
        </w:rPr>
        <w:t>Complex Sale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21, 2024, a wholly-owned subsidiary of the Company entered into the Complex Sale Agreement with Commerce Media, providing for the sale of certain assets relating to the business of Complex Networks (i.e., the Disposition). Pursuant to the Complex Sale Agreement, Commerce Media purchased certain assets, and assumed certain liabilities, related to the business of Complex Networks, excluding the business operating under the First We Feast brand and as otherwise set forth in the Complex Sale Agreement, for an aggregate purchase price of $108.6 million, which was paid in cash on February 21, 2024.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Disposition, the Company was required to repay (i) approximately $30.9 million to holders of the Notes and (ii) approximately $33.8 million outstanding under the Revolving Credit Facility, plus accrued and unpaid interest of $0.7 million (such amounts were repaid shortly after the Disposition). The Company terminated the Revolving Credit Facility, except for the $15.5 million in letters of credit then-outstanding. The Company incurred a $0.5 million early termination fee and a standby letter of credit fee of $0.5 million, both of which were paid upon closing of the Disposition on February 21, 2024. Additionally, as described in Note 9 herein, on February 28, 2024, the indenture governing the Notes was amended to, among other things, provide that 95% of the net proceeds of future asset sales must be used to repay the Notes.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 with the closing of the Disposition, the Company and Commerce Media entered into a space sharing agreement whereby Commerce Media paid the Company a one-time license fee of approximately $2.8 million for use of the certain office space in our corporate headquarters from February 21, 2024 until on June 30, 2025 (or such earlier date that the underlying sublease or master lease earlier expires or is terminated).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for Sale and Discontinued Operations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determined the assets of Complex Networks, excluding the First We Feast brand, met the criteria for classification as held for sale. On February 21, 2024, the Company completed the Disposition for approximately $108.6 million in cash. The Company disposed of Complex Networks in order to refocus its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 around scalable, high-margin, and tech-led revenue streams. As such, the Company concluded the ultimate disposal (i.e., the Disposition), represented a strategic shift that had a major effect on the Company’s operations and financial results. Therefore, the historical results of Complex Networks, excluding the First We Feast brand, are classified as discontinued operations for all periods presented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net loss from discontinued operations, net of tax,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28,018</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19,439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36,924</w:t>
            </w:r>
          </w:p>
        </w:tc>
      </w:tr>
      <w:tr>
        <w:trPr>
          <w:trHeight w:val="27"/>
        </w:trPr>
        <w:tc>
          <w:tcPr>
            <w:tcW w:w="5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partial debt extinguishment</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remeasurement of classification to held for sale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for the three and six months ended June 30, 2024 includes activity only from January 1, 2024 through the date of Disposition (i.e., February 21, 2024), except for the income tax adjustments described below. Allocated general corporate overhead costs do not meet the criteria to be presented within net loss from discontinued operations, net of tax, and were excluded from all figures presented in the table above.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there was tax expense in discontinued operations as a result of non-deductible permanent differences and state taxes related to the Disposition, offset with release in valuation allowance and excess tax benefits related to foreign derived intangible income (i.e., FDII). For the three and six months ended June 30, 2024, there was an increase in the income tax provision related to discontinued operations due to the remeasurement of state taxes based on the impact of law changes enacted during the quarter, which restrict utilization of certain state net operating loss carryforwards.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2023, there was no income tax provision / (benefit) in discontinued operations, as a result of the valuation allowance against net deferred tax assets that were not realizable on a more-likely-than-not basis.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Disposition, the Company was required to repay approximately $33.8 million outstanding under the Revolving Credit Facility and $30.9 million of the $150.0 million then-outstanding under the Notes (i.e., approximately 20.6% of the aggregate principal then-outstanding was repaid). The Company derecognized approximately 20.6% of the unamortized debt discount costs, which resulted in an approximately $4.9 million loss on partial debt extinguishment that was attributed to the discontinued operation. All historical interest expense associated with the Revolving Credit Facility and 20.6% of the historical interest expense associated with the Notes were allocated to the discontinued operation.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the assets of discontinued operations were as follows: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 net of valuation allowance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104,089</w:t>
            </w:r>
          </w:p>
        </w:tc>
      </w:tr>
      <w:tr>
        <w:trPr>
          <w:trHeight w:val="21"/>
        </w:trPr>
        <w:tc>
          <w:tcPr>
            <w:tcW w:w="9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a valuation allowance against the assets held for sale to reflect the write-down of the carrying value to fair value less estimated costs to sell. The non-cash valuation allowance of $9.5 million was recorded within loss from classification to held for sale in the summarized financial information of discontinued operations for the year ended December 31, 2023. The Company completed the Disposition during the six months ended June 30, 2024 and recorded a final gain on remeasurement of classification to held for sale of $0.9 million after recording final transaction and related expenses (for a total loss on disposal of approximately $8.6 million).</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no current assets, current liabilities, or noncurrent liabilities of discontinued operations for the year ended December 31, 2023, as the disposal group consisted of intangible assets, net, and goodwill.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continuing involvement with Commerce Media through a transition services agreement, pursuant to which the Company and Commerce Media provide certain services to each other for a period of time following the Disposition (specifically, for an initial term of 180 days from February 21, 2024, with two additional consecutive terms of 90 days each, at Commerce Media’s discretion). For the three and six months ended June 30, 2024, the Company collected a total of $1.0 million related to the transition services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and Commerce Media entered into a space sharing agreement whereby Commerce Media paid the Company a one-time fee of approximately $2.8 million for the use of certain office space in our corporate headquarters from February 21, 2024 until June 30, 2025 (or such earlier date that the underlying sublease or master lease either expires or is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of BuzzFeed, Tasty, and HuffPost’s U.K.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have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 the BuzzFeed, Tasty and HuffPost brands were transferred to IDNM as of April 1, 2024. Pursuant to the license agreement, IDNM will pay an annual license fee of between £0.3 million and £0.5 million (or approximately between $0.3 million and $0.6 million as of June 30, 2024), plus a net revenue share of 25% if certain criteria are met, as set forth in the license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BringMe Brand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June 13, 2024, the Company sold 100% of the assets related to the digital media brand known as </w:t>
      </w:r>
      <w:r>
        <w:rPr>
          <w:rFonts w:ascii="Times New Roman" w:cs="Times New Roman" w:eastAsia="Times New Roman" w:hAnsi="Times New Roman"/>
          <w:sz w:val="18"/>
          <w:szCs w:val="18"/>
          <w:i w:val="1"/>
          <w:iCs w:val="1"/>
          <w:color w:val="auto"/>
        </w:rPr>
        <w:t>BringMe</w:t>
      </w:r>
      <w:r>
        <w:rPr>
          <w:rFonts w:ascii="Times New Roman" w:cs="Times New Roman" w:eastAsia="Times New Roman" w:hAnsi="Times New Roman"/>
          <w:sz w:val="18"/>
          <w:szCs w:val="18"/>
          <w:color w:val="auto"/>
        </w:rPr>
        <w:t xml:space="preserve"> for approximately $1.3 million in cash consideration, which is payable in installments through 2028 ($0.4 million of which was paid as of June 30, 2024). As disclosed in Note 8 herein, the Company is required to repay 95% of the net proceeds for any asset sales to the holders of the Notes. As such, approximately $0.3 million was repaid on June 21, 2024, and the remainder will be repaid in-line with the aforementioned installment schedule). </w:t>
      </w:r>
      <w:r>
        <w:rPr>
          <w:rFonts w:ascii="Times New Roman" w:cs="Times New Roman" w:eastAsia="Times New Roman" w:hAnsi="Times New Roman"/>
          <w:sz w:val="18"/>
          <w:szCs w:val="18"/>
          <w:i w:val="1"/>
          <w:iCs w:val="1"/>
          <w:color w:val="auto"/>
        </w:rPr>
        <w:t>BringMe</w:t>
      </w:r>
      <w:r>
        <w:rPr>
          <w:rFonts w:ascii="Times New Roman" w:cs="Times New Roman" w:eastAsia="Times New Roman" w:hAnsi="Times New Roman"/>
          <w:sz w:val="18"/>
          <w:szCs w:val="18"/>
          <w:color w:val="auto"/>
        </w:rPr>
        <w:t xml:space="preserve"> did not have a material impact on the Company’s net loss for any period presented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3, 2024, the Company increased the maximum aggregate offering price of the shares of the Company’s Class A common stock issuable under the At-The-Market-Offering Agreement with Craig-Hallum Capital Group LLC to $150.0 million and filed a prospectus supplement with respect to such increase.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filings with the Securities and Exchange Commission. Additionally,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BuzzFeed is a premier digital media company for the most diverse, most online, and most socially connected generations the world has ever seen. Across entertainment, news, food, pop culture and commerce, our brands drive conversation and inspire what audiences watch, read, and buy now — and into the future. Our iconic, globally-loved brands include BuzzFeed, HuffPost, Tasty, and First We Feast (including Hot Ones). Today, our flagship BuzzFeed brand continues to be the biggest player in digital media, with vastly more time spent than widely known digital and legacy brands like Vox, Bustle, and People.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massive scale and low cost. As a result, each of our brands has a large, loyal, highly-engaged audience that is very attractive to advertisers, and through our rich first party data offering and contextual marketing solutions, we are able to help both advertisers and creators effectively and efficiently reach their target audiences. In 2023, our audiences consumed more than 300 million hours of content and drove over $500 million in attributable transactions.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focused on revenue diversification and profitability (on an Adjusted EBITDA-basis, a non-GAAP financial measure, as discussed below).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we determined that the assets of Complex Networks, excluding the First We Feast brand, met the criteria for classification as held for sale. Additionally, we concluded the ultimate disposal, which took place on February 21, 2024 (the “Disposition”), represented a strategic shift that had a major effect on our operations and financial results. As such, the historical financial results of Complex Networks have been reflected as discontinued operations in our condensed consolidated financial statements. Refer to Note 19 to the condensed consolidated financial statements included elsewhere within this Quarterly Report on Form 10-Q for additional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Additionally, pursuant to subscription agreements entered into in connection with the consummation of the Business Combination, we issued, and certain investors purchased, $150.0 million aggregate principal amount of unsecured convertible notes due 2026 (the “Notes”) concurrently with the closing of the Business Combination. On March 7, 2024, we repaid approximately $30.9 million to holders of the Notes. Additionally, we repaid approximately $0.3 million to the holders of the Notes on June 21, 2024, leaving approximately $118.8 million aggregate principal amount of Notes outstanding as of June 30, 2024. Refer to Notes 8 and 19 to the condensed consolidated financial statements included elsewhere within this Quarterly Report on Form 10-Q for additional details.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2024, we announced plans to reduce expenses by implementing an approximately 16% reduction in the then-current workforce (after the Disposition). In doing so, we reduced the size of our centralized operations to enable our individual brands to operate with more autonomy and deliver against their differentiated value propositions for advertisers. The reduction in workforce plan was intended to position us to be more agile, sustainable, and profitable. We incurred approximately $2.9 million of restructuring costs for the six months ended June 30, 2024, comprised mainly of severance and related benefits costs, of which $1.2 million were included in cost of revenue, excluding depreciation and amortization, $1.5 million were included in sales and marketing, and $0.2 million were included in general and administrative.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accordance with the Asset Purchase Agreement (the “Complex Sale Agreement”), dated as of February 21, 2024 between a wholly-owned subsidiary of the Company and Commerce Media Holdings, LLC., pursuant to which the Disposition was consummated, Commerce Media reimbursed us for approximately $1.8 million in payments related to “Non-Transferring Employees” (as defined in the Complex Sale Agreement), including severance. The amount of these severance and related charges are not included within the restructuring charges noted above. We treated the reimbursement as an expense reimbursement.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we announced plans to reduce expenses by implementing an approximately 15% reduction in the then-current workforce. The reduction in workforce plan was part of a broader strategic reprioritization across the Company in order to improve upon profitability and cash flow. We incurred approximately $6.8 million of restructuring costs for the three months ended June 30,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Current Economic Conditions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ongoing macroeconomic uncertainty and elevated interest rates, which has contributed to reduced spending from advertising and content customers. These macroeconomic factors have adversely impacted our advertising and content revenue in 2023 and to date in 2024, and we expect these factors will continue to adversely affect our revenue in 2024. In addition, uncertainty surrounding macroeconomic factors in the U.S. and globally characterized by inflationary pressure, elevated interest rates, geopolitical issues or other factors may result in a recession, which could have a material adverse effect on our business. Refer to Part I, Item 1A “Risk Factors” within our Annual Report on Form 10-K for the fiscal year ended December 31, 2023 for additional details.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operational highlights for the periods presented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7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7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GAAP</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46,932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62,128</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117,036</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(40,899)</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8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(6,483)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(51,871)</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Non-GAAP</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(8,605)</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(20,292)</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Non-Financial</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Spent</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70,981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74,948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138,305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155,366</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on owned and operated properties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on third-party platforms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32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ind w:left="340" w:hanging="332"/>
        <w:spacing w:after="0" w:line="260"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Reconciliation from Net loss from continuing operations to Adjusted EBITDA</w:t>
      </w:r>
      <w:r>
        <w:rPr>
          <w:rFonts w:ascii="Times New Roman" w:cs="Times New Roman" w:eastAsia="Times New Roman" w:hAnsi="Times New Roman"/>
          <w:sz w:val="18"/>
          <w:szCs w:val="18"/>
          <w:color w:val="auto"/>
        </w:rPr>
        <w:t>” for a reconciliation of Adjusted EBITDA to the most directly comparable financial measure in accordance with accounting principles generally accepted in the U.S (“GAAP”).</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Time Spent as the estimated total number of hours spent by users on our owned and operated U.S. properties, our content on Apple News in the U.S., and 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Twitter. There are inherent challenges in measuring the total actual number of hours spent with our content across all platforms; however, we consider the data reported by Comscore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For the three and six months ended June 30, 2024, Time Spent decreased by 5% and 11%, respectively, consistent with broader industry trends, amongst our competitive set, according to Comscore. Time Spent presented above excludes time spent on Complex Networks, as Complex Networks is presented as a discontinued operation herein (refer to Note 19 to the condensed consolidated financial statements included elsewhere within this Quarterly Report on Form 10-Q for additional details). Time Spent on Complex Networks, as reported by Comscore, was approximately 10.0 million hours through the date of Disposition, February 21, 2024, and 21.2 million and 50.0 million hours for the three and six months ended June 30, 2023, respectively. Time Spent on Complex Networks, as reported by Comscore, historically included Time Spent on First We Feast, as First We Feast was historically under the Complex Networks’ measurement portfolio of Comscore. At this time, Time Spent on First We Feast cannot be reasonably bifurcated from Time Spent on Complex Networks. As such, in order to have a more comparable measure of Time Spent, we have excluded Time Spent on First We Feast from our measure of Time Spent presented above, and we will exclude Time Spent on First We Feast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Performance Metrics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use certain metrics to assess the operational and financial performance of our business. Specifically, we monitor the performance of our branded content advertisers through retention and average trailing 12-month revenue per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operating metrics for our branded content revenue for the three months ended June 30, 2024 and 2023 (on a trailing 12-month basis):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Pr>
          <w:p>
            <w:pPr>
              <w:spacing w:after="0"/>
              <w:rPr>
                <w:sz w:val="16"/>
                <w:szCs w:val="16"/>
                <w:color w:val="auto"/>
              </w:rPr>
            </w:pPr>
          </w:p>
        </w:tc>
      </w:tr>
      <w:tr>
        <w:trPr>
          <w:trHeight w:val="37"/>
        </w:trPr>
        <w:tc>
          <w:tcPr>
            <w:tcW w:w="7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6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branded content advertiser revenue retention</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7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Branded content advertisers</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&gt;45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&gt;60</w:t>
            </w:r>
          </w:p>
        </w:tc>
      </w:tr>
      <w:tr>
        <w:trPr>
          <w:trHeight w:val="27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branded content advertiser revenue</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jc w:val="both"/>
        <w:ind w:left="340" w:hanging="332"/>
        <w:spacing w:after="0" w:line="25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branded content advertiser revenue retention is calculated by dividing the branded content revenue for the trailing 12 months from the close of the applicable reporting period, from advertisers who were also advertisers at the close of the same period in the prior year (the “base period”), by the branded content revenue for the trailing 12 months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 majority of our revenue is generated through the following types of arrangements:</w:t>
      </w:r>
    </w:p>
    <w:p>
      <w:pPr>
        <w:spacing w:after="0" w:line="227" w:lineRule="exact"/>
        <w:rPr>
          <w:sz w:val="20"/>
          <w:szCs w:val="20"/>
          <w:color w:val="auto"/>
        </w:rPr>
      </w:pPr>
    </w:p>
    <w:p>
      <w:pPr>
        <w:jc w:val="both"/>
        <w:ind w:left="660" w:hanging="328"/>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Consists of display, programmatic, and video advertising on our owned and operated sites and applications and social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Includes revenue generated from creating content, including promotional content, and customer advertising (herein referred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content”). Additionally, includes revenue from feature films and content licensing. Content revenue is recognized when the content, or the related action (click or view), is delivered.</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Commerce and other: </w:t>
      </w:r>
      <w:r>
        <w:rPr>
          <w:rFonts w:ascii="Times New Roman" w:cs="Times New Roman" w:eastAsia="Times New Roman" w:hAnsi="Times New Roman"/>
          <w:sz w:val="18"/>
          <w:szCs w:val="18"/>
          <w:color w:val="auto"/>
        </w:rPr>
        <w:t>Includes affiliate marketplace revenue and licensing of intellectual property. We participate in multiple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with third parties whereby we provide affiliate links which redirect the audience to purchase products and/or services from the third parties. When the participant purchases a product and / or service, we receive a commission fee for that sale from the third party. Affiliate marketplace revenue is recognized when a successful sale is made and the commission is earned.</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excluding depreciation and amortization: </w:t>
      </w:r>
      <w:r>
        <w:rPr>
          <w:rFonts w:ascii="Times New Roman" w:cs="Times New Roman" w:eastAsia="Times New Roman" w:hAnsi="Times New Roman"/>
          <w:sz w:val="18"/>
          <w:szCs w:val="18"/>
          <w:color w:val="auto"/>
        </w:rPr>
        <w:t>Consists primarily of compensation-related expenses and costs incurred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creation of editorial, promotional, and news content across all platforms, as well as amounts due to third-party websites and platforms to fulfill customers’ advertising campaigns. Web hosting and advertising serving platform costs are also included in cost of revenue, excluding depreciation and amortization.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color w:val="auto"/>
        </w:rPr>
        <w:t>: Consists primarily of compensation-related expenses for sales employees. In addition, sales and marketing expenses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costs and market research.</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color w:val="auto"/>
        </w:rPr>
        <w:t>: Consists of compensation-related expenses for corporate employees. Also, it consists of expenses for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services fees, insurance costs, and other general overhead costs.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Consists primarily of compensation-related expenses incurred for the development of, enhancements 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maintenance of our website, technology platforms, data collection and infrastructure. Research and development expenses that do not meet the criteria for capitalization are expensed as incurred.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Represents depreciation of property and equipment and amortization of intangible assets and capitalized software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 (expense),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foreign exchange gains and losses, gains and losses on investments, gains and losses on dispositions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gains and losses on disposition of assets, income from transition service agreements, and other miscellaneous income and expenses.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Consists of interest expense incurred on our borrowings, net of interest income on interest bearing checking accounts.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warrant liabilities: </w:t>
      </w:r>
      <w:r>
        <w:rPr>
          <w:rFonts w:ascii="Times New Roman" w:cs="Times New Roman" w:eastAsia="Times New Roman" w:hAnsi="Times New Roman"/>
          <w:sz w:val="18"/>
          <w:szCs w:val="18"/>
          <w:color w:val="auto"/>
        </w:rPr>
        <w:t>Reflects the changes in warrant liabilities, which is primarily based on the market price of our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listed on The Nasdaq Capital Market under the symbol “BZFDW.” Refer to Note 4 to the condensed consolidated financial statements for additional details.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derivative liability: </w:t>
      </w:r>
      <w:r>
        <w:rPr>
          <w:rFonts w:ascii="Times New Roman" w:cs="Times New Roman" w:eastAsia="Times New Roman" w:hAnsi="Times New Roman"/>
          <w:sz w:val="18"/>
          <w:szCs w:val="18"/>
          <w:color w:val="auto"/>
        </w:rPr>
        <w:t>In December 2021, we issued a $150.0 million aggregate principal amount of unsecured convertible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due 2026 (i.e., the Notes) that contain redemption features which we determined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were embedded derivatives to be recognized as liabilities and measured at fair value. At the end of each reporting period, changes in the estimated fair value during the period are recorded as a change in the fair value of derivative liability. During the year ended December 31, 2023, we determined the fair value of the derivative liability was immaterial; refer to Note 4 to the condensed consolidated financial statements included elsewhere in this Quarterly Report on Form 10-Q for additional details. On March 7, 2024 and June 21, 2024, we repaid approximately $30.9 million and $0.3 million, respectively, to holders of the Notes, leaving approximately $118.8 million aggregate principal amount of Notes outstanding as of June 30, 2024.</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provision: </w:t>
      </w:r>
      <w:r>
        <w:rPr>
          <w:rFonts w:ascii="Times New Roman" w:cs="Times New Roman" w:eastAsia="Times New Roman" w:hAnsi="Times New Roman"/>
          <w:sz w:val="18"/>
          <w:szCs w:val="18"/>
          <w:color w:val="auto"/>
        </w:rPr>
        <w:t>Represents federal, state, and local taxes based on income in multiple domestic and international jurisdictions.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and six months ended June 30, 2024 and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 of operations data for each of the periods presented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46,932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117,036</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76,204</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22,047</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42,175</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51,146</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157,935</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(40,899)</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(3,981)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(6,659)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(6,483)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37"/>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(7,360)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(64,097)</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900" w:type="dxa"/>
            <w:vAlign w:val="bottom"/>
            <w:tcBorders>
              <w:top w:val="single" w:sz="8" w:color="auto"/>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(7,487)</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(63,837)</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4"/>
        </w:trPr>
        <w:tc>
          <w:tcPr>
            <w:tcW w:w="5040" w:type="dxa"/>
            <w:vAlign w:val="bottom"/>
          </w:tcPr>
          <w:p>
            <w:pPr>
              <w:spacing w:after="0"/>
              <w:rPr>
                <w:sz w:val="24"/>
                <w:szCs w:val="24"/>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Costs and expenses included in stock-based compensation expense are included in the condensed consolidated statements of operations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r>
      <w:tr>
        <w:trPr>
          <w:trHeight w:val="37"/>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r>
      <w:tr>
        <w:trPr>
          <w:trHeight w:val="37"/>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7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negative stock-based compensation expense for the six months ended June 30, 2023 for research and development was due to forfeitures.</w:t>
      </w:r>
    </w:p>
    <w:p>
      <w:pPr>
        <w:spacing w:after="0" w:line="207" w:lineRule="exact"/>
        <w:rPr>
          <w:sz w:val="20"/>
          <w:szCs w:val="20"/>
          <w:color w:val="auto"/>
        </w:rPr>
      </w:pPr>
    </w:p>
    <w:p>
      <w:pPr>
        <w:ind w:right="600" w:firstLine="648"/>
        <w:spacing w:after="0" w:line="295" w:lineRule="auto"/>
        <w:rPr>
          <w:sz w:val="20"/>
          <w:szCs w:val="20"/>
          <w:color w:val="auto"/>
        </w:rPr>
      </w:pPr>
      <w:r>
        <w:rPr>
          <w:rFonts w:ascii="Times New Roman" w:cs="Times New Roman" w:eastAsia="Times New Roman" w:hAnsi="Times New Roman"/>
          <w:sz w:val="18"/>
          <w:szCs w:val="18"/>
          <w:color w:val="auto"/>
        </w:rPr>
        <w:t>The following table sets forth our condensed consolidated statement of operations data for each of the periods presented as a percentage of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6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3"/>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40" w:type="dxa"/>
            <w:vAlign w:val="bottom"/>
            <w:gridSpan w:val="2"/>
          </w:tcPr>
          <w:p>
            <w:pPr>
              <w:ind w:left="5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7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BuzzFeed, Inc.</w:t>
            </w:r>
          </w:p>
        </w:tc>
        <w:tc>
          <w:tcPr>
            <w:tcW w:w="9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540" w:right="3920" w:hanging="5532"/>
        <w:spacing w:after="0" w:line="949" w:lineRule="auto"/>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have been rounded for presentation purposes and may differ from unrounded results.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was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56,805</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Commerce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46,932</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62,128</w:t>
            </w:r>
          </w:p>
        </w:tc>
        <w:tc>
          <w:tcPr>
            <w:tcW w:w="100" w:type="dxa"/>
            <w:vAlign w:val="bottom"/>
          </w:tcPr>
          <w:p>
            <w:pPr>
              <w:spacing w:after="0"/>
              <w:rPr>
                <w:sz w:val="22"/>
                <w:szCs w:val="22"/>
                <w:color w:val="auto"/>
              </w:rPr>
            </w:pP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117,036</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Advertising revenue decreased by $5.6 million, or 19%, for the three months ended June 30, 2024, due to a $6.1 million decline in direct sold advertising products, partially offset by a $0.5 million increase in programmatic advertising revenue reflecting improved pricing on our owned and operated properties. For the three months ended June 30, 2024 and 2023, direct sold advertising was $7.8 million and $13.9 million, respectively, and programmatic advertising revenue was $16.0 million and $15.5 million, respectively. The decline in direct sold advertising revenue reflects broader macroeconomic headwinds and a shift in our strategy to focus more on programmatic advertising.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Advertising revenue decreased by $11.6 million, or 20%, for the six months ended June 30, 2024, due to a $10.0 million decline in direct sold advertising products and a $1.6 million decline in programmatic advertising revenue, primarily on distributed platforms. For the six months ended June 30, 2024 and 2023, direct sold advertising was $14.4 million and $24.4 million, respectively, and programmatic advertising was $30.8 million and $32.4 million,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Content revenue decreased by $10.4 million, or 48%, for the three months ended June 30, 2024, primarily driven by a decrease in the number of branded content customers due to the continued softness in direct sold content demand and the broader macroeconomic environment, and a $1.6 million decrease in revenue associated with non-recurring custom content campaigns that were delivered during the three months ended June 30, 2023, with no comparable revenue during the current three-month period. We expect content revenue to continue to decline in 2024, as compared to the prior year, as we focus on programmatic advertising and affiliate revenue products.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Content revenue decreased by $13.5 million, or 36%, for the six months ended June 30, 2024, primarily driven by a decrease in the number of branded content customers due to the continued softness in direct sold content demand and the broader macroeconomic environment, and a $3.7 million decrease in revenue associated with non-recurring custom content campaigns that were delivered during the six months ended June 30, 2023, with no comparable revenue in the current six-month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Commerce and other increased by $0.8 million, or 7%, for the three months ended June 30, 2024, driven by a $0.9 million increase in affiliate commission revenue, partially offset by a $0.1 million decline in other products. For the three months ended June 30, 2024 and 2023, affiliate commerce revenue was $10.4 million and $9.6 million, respectively, and other revenue, such as product licensing, was $1.3 million and $1.4 million,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Commerce and other decreased $0.3 million, or 1%, for the six months ended June 30, 2024, driven by a $0.2 million decline in affiliate commerce revenue reflecting less promotional spending and lower shopping traffic in the first quarter of 2024, and a $0.1 million decline in other products. For the six months ended June 30, 2024 and 2023, affiliate commerce revenue was $19.3 million and $19.5 million, respectively, and other revenue was $2.7 million and $2.8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excluding depreciation and amortization: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88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Cost of revenue, excluding</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25,001</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38,967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56,064</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76,204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excluding depreciation and amortization decreased by $14.0 million, or 36%, for the three months ended June 30, 2024, driven by $5.0 million decrease in variable costs of revenue due to changes in the revenue mix and the decline in revenue year-over-year, a $4.3 million decrease in restructuring expenses, a $3.2 million decrease in compensation expense reflecting our previous cost savings actions, and a $1.3 million decrease in consulting expenses.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 excluding depreciation and amortization decreased by $20.1 million, or 26%, for the six months ended June 30, 2024, driven by a $7.5 million decrease in variable costs of revenue due to changes in the revenue mix and the decline in revenue year-over-year, a $6.6 million decrease in compensation expense reflecting our previous cost savings actions, a $3.1 million decrease in restructuring expenses, and a $2.8 million decrease in consulting and other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28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10,139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13,654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22,047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by $5.6 million, or 56%, for the three months ended June 30, 2024, driven by a $4.1 million decrease in compensation and related expenses reflecting our previous cost savings actions and a $1.3 million decrease in restructuring expenses.</w:t>
      </w:r>
    </w:p>
    <w:p>
      <w:pPr>
        <w:spacing w:after="0" w:line="6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by $8.4 million, or 38%, for the six months ended June 30, 2024, driven by a $7.1 million decrease in compensation and related expenses reflecting our previous cost savings actions and a $0.7 million decrease in consulting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14,052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20,765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30,301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42,175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$6.7 million, or 32%, for the three months ended June 30, 2024, driven by a $1.6 million decrease in rent expense, a $0.9 million decrease in compensation expenses reflecting our previous cost savings actions, a $0.7 million decrease in professional fees, a $0.7 million decrease in insurance, a $0.5 million decrease in software expenses, a $0.5 million increase in sublease income, a $0.4 million decrease in stock-based compensation expense, and a $0.4 million decrease in restructuring expenses.</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$11.9 million, or 28%, for the six months ended June 30, 2024, driven by a $3.3 million decrease in rent expense, a $1.2 million decrease in professional fees, a $1.2 million decrease in compensation expenses reflecting our previous cost savings actions, a $1.0 million decrease in insurance, a $0.9 million decrease in software expenses, a $0.7 million increase in sublease income, a $0.6 million decrease in stock-based compensation expense, a $0.5 million decrease in consulting expenses, and a $0.5 million decrease in general facilities’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3,351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6,479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$0.6 million, or 19%, for the three months ended June 30, 2024, driven by a $0.8 million decrease in restructuring expenses, partially offset by a $0.2 million increase in stock-based compensation and other expenses.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$0.5 million, or 8%, for the six months ended June 30, 2024, driven by a $0.8 million decrease in restructuring expenses and a $0.2 million decrease in consulting expenses, partially offset by a $0.5 million increase in stock-based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5,328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11,030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June 30, 2024, depreciation and amortization expenses decreased by $0.5 million, or 9%.</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six months ended June 30, 2024, depreciation and amortization expenses decreased by $0.3 million, or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28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(3,675)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(3,055)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other income, net of $2.2 million for the three months ended June 30, 2024, compared to other expense, net of $3.7 million for the three months ended June 30, 2023. The change of $5.8 million was primarily driven by the comparison against a $3.6 million loss on investment recorded during the three months ended June 30, 2023 (with no comparable loss in the current-year period), a $1.3 million increase in gain on disposition of an asset, and a $0.8 million increase in other income principally reflecting transition services’ income from the purchaser of Complex Networks.</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other income, net of $1.6 million for the six months ended June 30, 2024, compared to other expense, net of $3.1 million for the six months ended June 30, 2023. The change of $4.7 million was primarily driven by the comparison against a $3.6 million loss on investment recorded during the six months ended June 30, 2023 (with no comparable loss in the current-year period), a $1.3 million increase in gain on disposition of an asset, and a $0.8 million increase in other income principally reflecting transition services’ income from the purchaser of Complex Networks, partially offset by a $0.9 million decrease in exchange gain.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88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(3,981)</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(7,729)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June 30, 2024, interest expense, net remained relatively flat year-over-year.</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net increased by $0.7 million, or 9%,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in fair value of warrant</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395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(198)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we recorded losses of $0.6 million and $0.7 million, respectively, on the change in fair value of warrant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60" w:type="dxa"/>
            <w:vAlign w:val="bottom"/>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3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in fair value of</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w:t>
            </w:r>
          </w:p>
        </w:tc>
        <w:tc>
          <w:tcPr>
            <w:tcW w:w="5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1,125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recorded gains of $1.1 million and $0.1 million on the change in fair value of derivative liability for the three and six months ended June 30, 2023, respectively, with no comparable gains in the current three and six month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4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110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the and six three months ended June 30, 2024,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and the discrete impact of finalization of Canadian tax return filings.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discontinued operations, net of tax:</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months ended June 30, 2024, net loss from discontinued operations, net of tax decreased by $4.5 million, or 84%, principally reflecting timing. Specifically, except for the income tax adjustments described in Note 19 to the condensed consolidated financial statements included elsewhere within this Quarterly Report on Form 10-Q and for the income tax adjustments that may be expected for the remainder of 2024, net loss from discontinued operations, net of tax, was final as of February 21, 2024, the date of Disposition.</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For the six months ended June 30, 2024, net loss from discontinued operations, net of tax, decreased by $2.1 million, or 17.5%, reflecting a $4.9 million loss on partial debt extinguishment, partially offset by a $2.2 million improvement in loss from discontinued operations and a $0.9 million final gain on remeasurement of classification as held for sale. Apart from the income tax adjustments described in Note 19 to the condensed consolidated financial statements included elsewhere within this Quarterly Report on Form 10-Q, the results for the six months ended June 30, 2024 includes activity only from January 1, 2024 through the date of Disposition (i.e., February 21, 2024).</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from continuing operations, excluding the impact of net income (loss) attributable to noncontrolling interests, income tax (benefit) provision, interest expense, net, other (income) expense, net, depreciation and amortization, stock-based compensation, change in fair value of warrant liabilities, change in fair value of derivative liability, restructuring costs, and other non-cash and non-recurring items that management believes are not indicative of ongoing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should not be considered a substitute for loss from continuing operations, net loss, or net loss attributable to BuzzFeed,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we have reported in accordance with 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loss from continuing operations to Adjusted EBITDA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consolidated net loss from continuing operations to Adjusted EBITDA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(51,871)</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0" w:type="dxa"/>
            <w:vAlign w:val="bottom"/>
          </w:tcPr>
          <w:p>
            <w:pPr>
              <w:spacing w:after="0"/>
              <w:rPr>
                <w:sz w:val="1"/>
                <w:szCs w:val="1"/>
                <w:color w:val="auto"/>
              </w:rPr>
            </w:pP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Refer to elsewhere above in Item 2. “Management’s Discussion and Analysis of Financial Condition and Results of Operations” herein for a discussion of the distinct restructuring activities during the six months ended June 30, 2024 and 2023. 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cash generated from continuing operations. Our cash and cash equivalents consist of demand deposits with financial institutions and investments in money market funds.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U.S. GAAP. The presence of the following risks and uncertainties associated with our financial condition may adversely affect our ability to sustain our operations over the next 12 months beyond the issuance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generally incurred significant losses and used net cash flows from operations to grow our owned and operated properties and our iconic brands. During the six months ended June 30, 2024, the Company incurred a net loss of $43.1 million (and a net loss of $33.1 million from continuing operations) and used net cash flows from its operations of $25.7 million (and net cash used in operating activities from continuing operations was $16.8 million). Additionally, as of June 30, 2024, the Company had unrestricted cash and cash equivalents of $45.5 million to fund its operations and an accumulated deficit of $655.0 million.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described in Note 8 to the condensed consolidated financial statements included elsewhere within this Quarterly Report on Form 10-Q, we repaid approximately $30.9 million and $0.3 million of the Notes on March 7, 2024 and June 21, 2024, respectively, leaving approximately $118.8 million aggregate principal amount of Notes outstanding as of June 30, 2024. As described in Note 8 to the condensed consolidated financial statements included elsewhere within this Quarterly Report on Form 10-Q, each holder of a Note has the right under the indenture governing the Notes to require us to repurchase, for cash, all or a portion of the Notes held by such holder (i) at any time on or after December 3, 2024,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Moreover, we will be required to repay the Notes, in cash, at their maturity, unless earlier converted, redeemed, or repurchased. In the event some or all of the holders of the Notes exercise their call rights, we currently do not have sufficient cash on hand or projected cash flows to fund the potential call. Our failure to comply with the provisions of the indenture governing the Notes, including our failure to repurchase the Notes, as required by the indenture, could trigger an event of default under the indenture, which would allow the holders of Notes to accelerate the maturity of the Notes and require us to repay the Notes prior to their maturity. In addition, on February 28, 2024, we amended the indenture governing the Notes to provide that, among other things, 95% of the net proceeds of future asset sales must be used to repay the Notes.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address our capital needs, we may explore options to restructure our outstanding debt, and we are working with advisors to optimize our condensed consolidated balance sheet. However, we can provide no assurance that we will generate sufficient cash inflows from operations, or that we will be successful in obtaining such new financing, or in optimizing our condensed consolidated balance sheet in a manner necessary to fund our obligations as they become due over the next 12 months beyond the issuance date. Additionally, we may implement incremental cost savings actions and pursue additional sources of outside capital to supplement our funding obligations as they become due, which may include additional offerings of our Class A common stock under the at-the-market offering (refer to Note 9 to the condensed consolidated financial statements included elsewhere within this Quarterly Report on Form 10-Q for additional details). As of the issuance date, no additional sources of outside capital have been secured or were deemed probable of being secured, other than our at-the-market-offering, which is subject to the conditions contained in the At-The-Market Offering Agreement dated June 20, 2023 with Craig-Hallum Capital Group LLC. We can provide no assurance we will successfully generate sufficient liquidity to fund our operations for the next 12 months beyond the issuance date, or if necessary, secure additional outside capital (including through our at-the-market-offering) or implement incremental cost savings.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on an ongoing basis, we are evaluating strategic changes to our operations, including asset divestitures, restructuring,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As of the issuance date, we continue to work with our external advisors to optimize our condensed consolidated balance sheet and evaluate our assets.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course of business for the foreseeable future. Accordingly, the accompanying condensed consolidated financial statements do not include any adjustments that may result from the outcome of these uncertainties.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30, 2020, the Company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the Company’s landlords. The Company had outstanding letters of credit of $15.5 million under the Revolving Credit Facility at December 31, 2023 (none at June 30, 2024, as described below).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21, 2024, in connection with the Disposition discussed within Note 19 to the condensed consolidated financial statements included elsewhere within this Quarterly Report on Form 10-Q, the Company terminated the Revolving Credit Facility, except for the $15.5 million in letters of credit then-outstanding. However, during the second quarter of 2024, the Company terminated the $15.5 million in letters of credit outstanding under the Revolving Credit Facility, resulting in the full termination of the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Letters of Credit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entered into an agreement with a financial institution for standby letters of credit in the amount of $15.5 million, which were issued during the second quarter of 2024 in favor of certain of the Company’s landlords and remain outstanding as of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June 2021, in connection with the entry into the merger agreement pursuant to which the Business Combination was consummated, we entered into subscription agreements with certain investors to sell $150.0 million aggregate principal amount of unsecured convertible notes due 2026 (i.e., the Notes). In connection with the closing of the Business Combination, we issued, and those investors purchased, the Notes. The Notes are convertible into shares of our Class A common stock at a conversion price of approximately $50.00 and bear interest at a rate of 8.50% per annum, payable semi-annually. The Notes mature on December 3, 2026. As of June 30, 2024, the Notes were convertible into approximately 2,375,347 shares of our Class A common stock.</w:t>
      </w:r>
    </w:p>
    <w:p>
      <w:pPr>
        <w:spacing w:after="0" w:line="19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prior to December 3, 2024, we will be obligated to pay an amount in cash equal to 12 month’s interest declining ratably on a monthly basis to zero month’s interest, in each case, on the aggregate principal amount of Notes so converted. Without limiting a holder’s right to convert the Notes at its option, interest will cease to accrue on the Notes during any period in which we would otherwise be entitled to force conversion of the Notes, but are not permitted to do so solely due to the failure of a trading volume condition specified in the indenture governing the Notes.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Each holder of a Note has the right under the indenture governing the Notes to require us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In addition, a failure to comply with the provisions of the indenture governing our Notes could trigger an event of default under the indenture, which would allow the holders of the Notes to accelerate the maturity of the Notes and require us to repay the Notes prior to their maturity. Moreover, we will be required to repay the Notes, in cash, at their maturity, unless earlier converted, redeemed, or repurchased. We may not have enough available cash or be able to obtain financing at the time we are required to make repurchases of such Notes surrendered or pay cash with respect to such Notes being converted.</w:t>
      </w:r>
    </w:p>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our ability to incur additional debt or liens, make restricted payments or investments, dispose of significant assets, transfer specified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or enter into transactions with affiliates. Additionally, on February 28, 2024, the indenture governing the Notes was amended to, among other things, provide that 95% of the net proceeds of future asset sales must be used to repay the Notes.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repaid approximately $30.9 million and $0.3 million of the Notes on March 7, 2024 and June 21, 2024, respectively, leaving approximately $118.8 million aggregate principal amount of Notes outstanding as of June 30, 2024. Refer to Notes 8 and 19 to the condensed consolidated financial statements included elsewhere within this Quarterly Report on Form 10-Q for details.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Cash flows (used in) provided by operating, investing and financing activities from continuing operations were as follows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 from continuing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(2,080)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 from continuing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(7,972)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8"/>
              </w:rPr>
              <w:t>1,385</w:t>
            </w: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At-The-Market-Offering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may, from time to time, sell up to 3,316,503 shares of our Class A common stock. As of June 30, 2024, we sold, in the aggregate, 517,385 shares of our Class A common stock, at an average price of $2.08 per share, for aggregate net proceeds of $0.9 million after deducting commissions and offering expenses. We used the aggregate net proceeds for general corporate purposes, and we had 2,799,118 remaining shares available under the At-The-Market-Offering Agreement. In July 2024, the Company increased the size of the offering available under the At-The-Market-Offering Agreement. Refer to Note 20 to the condensed consolidated financial statements included elsewhere within this Quarterly Report on Form 10-Q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2024, cash used in operating activities from continuing operations was $16.8 million compared to cash used in operating activities from continuing operations of $2.1 million for the six months ended June 30, 2023. The change was primarily driven by a $13.3 million improvement in net loss, adjusted for non-cash items, an $11.8 million increase in the change in accrued compensation, an $11.8 million increase in the change in accrued expenses, other current liabilities and other liabilities, a $1.6 million increase in the change in deferred revenue, and a $1.4 million increase in the change in lease liabilities. These were partially offset by a $39.0 million decrease in the change in accounts payable, a $15.5 million decrease in the change in accounts receivable, and a $0.1 million decrease in the change in prepaid expenses and other current assets and prepaid expenses and other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cash used in investing activities from continuing operations was $6.3 million, which consisted of $6.4 million of capital expenditures on internal-use software and $0.2 million of other capital expenditures, partially offset by $0.4 million in proceeds from the sale of an asset. For the six months ended June 30, 2024, net cash provided by investing activities from discontinued operations was $108.6 million, which represents the cash received for the sale of certain assets relating to the business of Complex Networks (i.e., the Disposition) and is non-recurring in nature.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2023, cash used in investing activities from continuing operations was $8.0 million, which consisted of $7.7 million of capital expenditures on internal-use software and $0.5 million of other capital expenditures, partially offset by a $0.2 million gain on the sale of an asset.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cash used in financing activities was $66.4 million, which consisted of a $33.8 million full repayment of the Revolving Credit Facility, $31.2 million in partial repayments on the Notes, a $0.6 million payment of deferred issuance costs, and a $0.5 million early termination payment for the Revolving Credit Facility.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2023, cash provided by financing activities was $1.4 million, which consisted of $2.1 million of borrowings on the Revolving Credit Facility and $0.8 million of net proceeds from the sale of common stock pursuant to our at-the-market offering after deducting commissions and fees. These were partially offset by a $1.3 million repayment on the Revolving Credit Facility and a $0.2 million payment for withholding taxes on the vesting of certain restricted stock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commitments consist of obligations for repayment of borrowings under the Notes obligations for office space under non-cancelable operating leases with various expiration dates through 2029. Refer to Notes 8 and 13 to the condensed consolidated financial statements included elsewhere in this Quarterly Report on Form 10-Q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and related notes in accordance with U.S.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Refer to “Management’s Discussion and Analysis of Financial Condition and Results of Operations” contained in Part II, Item 7 of our Annual Report on Form 10-K for the fiscal year ended December 31, 2023 for a more complete discussion of our critical accounting policies and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to the condensed consolidated financial statements included elsewhere within this Quarterly Report on Form 10-Q for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U.S. and internationally, and we are exposed to market risks in the ordinary course of our business. These risks include primarily foreign currency exchange, interest rate fluctuation and equity investment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transact business in various foreign currencies and obtain international revenue, as well as incur costs denominated in foreign currencies — primarily the British pound, Japanese yen,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market risks, which primarily include changes in interest rates. We receive interest payments on our cash and cash equivalents, including on our money market accounts. Changes in interest rates may impact the interest income we recognize in the future. The effect of a hypothetical 10% change in interest rates applicable to our business would not have a material impact on our condensed consolidated financial statements for the three and six months ended June 30, 2024 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as of both June 30, 2024 and December 31, 2023. Refer to Note 4 to the condensed consolidated financial statements included elsewhere in this Quarterly Report on Form 10-Q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reports under the Securities Exchange Act of 1934, as amended (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and for the year ended, December 31, 2023, 2022 and 2021, we identified material weaknesses in our internal control over financial reporting, which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in our internal control over financial reporting related to: (i) a lack of formalized internal controls and segregation of duties surrounding our financial statement close process, and (ii) a lack of formalized information technology (“IT”) general controls in the area of change management and logical security controls over financial IT systems. The remediation of these deficiencies has required, and will continue to require, a significant amount of time and resources from management and other personnel.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 A Lack of Formalized Internal Controls and Segregation of Duties Surrounding our Financial Statement Close Process: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During 2023 and continuing into 2024, with the oversight of the audit committee of our board of directors, we began implementing remediation plans and enhanced controls within the financial statement close process, including documentation improvements for certain higher risk and material balance sheet reconciliation schedules and supporting financial calculations and analyses. However, certain business process controls were not designed, or did not operate at the appropriate level of precision, to prevent or detect a material misstatement, and conflicts with respect to segregation of duties were identified across our end-to-end financial statement close process. Our management will continue to implement remediation plans to define control procedures, enhance documentation, and enforce segregation of duties to ensure controls are adequately designed and operate sufficiently including, but not limited to: enhancing certain higher risk balance sheet reconciliation schedules, completeness and accuracy, and related review procedures; enhancing review procedures with respect to financial results and supporting financial calculations; designing processes and controls to adequately segregate job responsibilities; redesigning workflow approval routing and security permissions; and reducing reliance on manual controls.</w:t>
      </w:r>
    </w:p>
    <w:p>
      <w:pPr>
        <w:spacing w:after="0" w:line="181" w:lineRule="exact"/>
        <w:rPr>
          <w:sz w:val="20"/>
          <w:szCs w:val="20"/>
          <w:color w:val="auto"/>
        </w:rPr>
      </w:pPr>
    </w:p>
    <w:p>
      <w:pPr>
        <w:ind w:left="340" w:right="440" w:hanging="8"/>
        <w:spacing w:after="0" w:line="271" w:lineRule="auto"/>
        <w:tabs>
          <w:tab w:leader="none" w:pos="60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 Lack of Formalized Information Technology General Controls in the Area of Change Management and Logical Security Controls Over Financial Information Technology Systems: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2023 and continuing into 2024, our management began implementing remediation plans to address certain control deficiencies around system development and change management and IT security, including formalizing the processes and controls around security administration and implementing user access reviews for certain key financial systems. However, we did not have sufficient resources with technical expertise to centralize certain IT functions and to provide adequate IT oversight over financial systems.</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management intends to revisit its IT sustainment plan to further support and provide appropriate oversight over key financial systems, and intends to implement remediation plans, including, but not limited to: centralizing the change management and security administration function; implementing policies and procedures with respect to change management, system development, and application-level security; documenting test procedures and approvals relating to changes made to production; maintaining separate development, test, and production environments; formalizing controls around security administration; and implementing real-time monitoring.</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2024 and will make the changes we determine to be appropriate.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June 30, 2024, the period covered in this report, our disclosure controls and procedures were not effective.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quarter ended June 30,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Privacy Protection Act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16, 2023, a lawsuit titled Hunthausen v. BuzzFeed, Inc. was filed against us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The matter was settled on January 4, 2024 and is now disposed.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4, 2023, we received 8,927 individual demands for JAMS arbitration in California, all of which allege that we violated the VPPA by transmitting personally identifying information via the Meta pixel, purportedly connected to posts on the BuzzFeed website. Each claimant was seeking to recover damages in the amount of $2,500 (actual dollars) for each alleged violation of the VPPA. We provisionally settled these claims on January 29, 2024 as part of an agreed class action settlement in the matter titled Peters v. BuzzFeed, Inc., pending in the Circuit Court of the 17th Judicial Circuit in Broward County, Florida.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15, 2023, we received (1) 5,247 individual demands for JAMS arbitration in California, all of which allege that we violated the VPPA by transmitting personally identifying information via the use of various pixels purportedly in connection with the HuffPost.com website; and (2) 12,176 individual demands for JAMS arbitration in California, all of which allege that we violated the VPPA by transmitting personal identifying information via the use of various pixels purportedly in connection with the BuzzFeed.com website. Each claimant was seeking to recover damages in the amount of $2,500 (actual dollars) for each alleged violation of the VPPA, as well as punitive damages, attorneys’ fees and costs, and equitable relief. The Company settled these claims on January 16, 2024 and the settlement has since been paid.</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October 31, 2023, we received 590 individual demands for JAMS arbitration in California, all of which allege that we violated the VPPA by transmitting personally identifying information via the use of various pixels purportedly in connection with the BuzzFeed.com website. Each claimant was seeking to recover damages in the amount of $2,500 (actual dollars) for each alleged violation of the VPPA. We provisionally settled these claims on January 29, 2024 as part of an agreed class action settlement in the matter titled Peters v. BuzzFeed, Inc., pending in the Circuit Court of the 17th Judicial Circuit in Broward County, Florida.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Mass Arbitrations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Two mass arbitrations (the “Arbitrations”) were initiated before the American Arbitration Association (the “AAA”) on March 15, 2022 against us and certain of our executive officers and directors (together, the “BuzzFeed Defendants”) and Continental Stock Transfer Corporation by 91 individuals previously employed by Legacy BuzzFeed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April 21, 2022, the BuzzFeed Defendants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“Delaware Action”). The complaint sought declaratory and injunctive relief. A hearing on the merits of the Delaware Action was held on July 26, 2022. On October 28, 2022, the Court of Chancery granted our motion to permanently enjoin the Claimants’ arbitration claims.</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On January 17, 2023, the Claimants filed amended statements of claim in the Arbitrations against BuzzFeed Media Enterprises, Inc., our wholly-owned subsidiary, and Continental Stock Transfer &amp; Trust Corporation, the transfer agent for 890 and, later, our transfer agent.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29, 2023, BuzzFeed Media Enterprises, Inc.,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complaint seeks declaratory and injunctive relief. The parties cross-moved for summary judgment.</w:t>
      </w:r>
    </w:p>
    <w:p>
      <w:pPr>
        <w:spacing w:after="0" w:line="17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November 20, 2023, the Court of Chancery heard oral arguments on our motion for summary judgment and the Claimants’ cross-motion to dismiss our complaint. On May 15, 2024, the Delaware Chancery Court ruled that the AAA was to determine whether the matter was arbitrable for those claimants who had produced employment agreements containing arbitration clauses. On June 13, 2024, we wrote to the AAA requesting that it continue to stay the arbitrations because there remained six claimants who had not established that they had employment agreements containing arbitration clauses and, therefore, the Delaware Chancery Court retained jurisdiction to adjudicate those six claims. Claimants opposed and, on June 18, 2024, the AAA indicated that it planned to move the arbitration forward with respect to the 85 claimants whose claims had been resolved by the Delaware Chancery Court, notwithstanding that six claimants still remained before that court. The matter is ongoing.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Invasion of Privacy Act</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On April 11, 2024, a lawsuit titled Chih-Yuan Chang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v. BuzzFeed, Inc. was filed against us in the Southern District of New York, alleging that we, by causing the Sharethrough, IQM, and Dotomi trackers to be installed on website visitors’ internet browsers, are collecting visitors’ personal identifying information without their consent, in violation of the California Invasion of Privacy Act (CIPA). Plaintiff, additionally, seeks class certification. This matter was provisionally settled on July 9,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other legal proceedings in which we are involved, refer to Note 14 to the condensed consolidated financial statements included elsewhere in this Quarterly Report on Form 10-Q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Disclosure about our existing risk factors is set forth in Item 1A, “Risk Factors,” in our Annual Report on Form 10-K for the fiscal year ended December 31, 2023 and Quarterly Report on Form 10-Q for the period ended March 31, 2024. Other than as described below, our risk factors have not changed materially since March 31, 2024.</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shareholders, which have been increasing, could be disruptive and costly, may cause uncertainty about the strategic direction of our business, result in litigation, divert management’s and our board of directors’ attention and our resources, and may attempt to effect changes in our governance and strategic direction or to acquire control over our board of directors or the Company, any of which may have an adverse effect on our business and stock price.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and increasingly so lately, we may be subject to proposals by activist shareholders, which could take many forms or arise in a variety of situations, including making public demands that we consider certain strategic alternatives, engaging in public campaigns to attempt to influence our corporate governance and / or our management, or commencing proxy contests aimed at electing the activists’ representatives to our board of directors. Future activist shareholder initiatives, including proxy contests and potential related litigation, could have a material adverse effect on us for many reasons, including, but not limited to:</w:t>
      </w:r>
    </w:p>
    <w:p>
      <w:pPr>
        <w:spacing w:after="0" w:line="7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shareholders may attempt to effect changes in our governance and strategic direction or to acquire control over us or our board of directors.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media scrutiny and public pressure could impact investor sentiment and lead to heightened public relations challenges, such as unfavorable media coverage which could damage our reputation and alienate customers and clients, embolden further activist shareholder initiatives, impact employee morale, or result in additional scrutiny from regulators and oversight bodies.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welcome the opinions of all shareholders, responding to activist shareholder initiatives could be costly and time-consuming, and could disrupt our operations, divert the attention of our board of directors, management team and other employees away from their regular duties and the pursuit of business opportunities to enhance shareholder value, and divert funds away from our core business activities and strategic investments, any of which could negatively impact our ability to pursue growth opportunities and affect our overall financial performance.</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our future direction and control, our ability to execute on our strategy, or changes to the composition of our board of directors or senior management team arising from activist shareholder initiatives could lead to the perception of a change in the direction of our business, instability or lack of continuity, which may cause concern to our existing or potential collaboration partners, make it more difficult to pursue our strategic initiatives, or limit our ability to attract and retain qualified personnel and business partners, any of which could adversely affect our business and operating results.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our future direction, strategy or leadership due to these activist shareholder initiatives may harm our ability to attract new investors, alter our relationships with our existing investors, who may react negatively or alter their investment strategies based on perceived instability, or cause our stock price to experience periods of volatility or stagnation based on temporary or speculative market perceptions or other factors that do not necessarily reflect the underlying fundamentals or prospects of our business.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36"/>
          </w:tcPr>
          <w:p>
            <w:pPr>
              <w:ind w:left="1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60" w:type="dxa"/>
            <w:vAlign w:val="bottom"/>
            <w:gridSpan w:val="45"/>
            <w:vMerge w:val="restart"/>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Agreement and Plan of Merger, dated as of June 24, 2021, by and among 890 5th Avenue Partners, Inc., Bolt Merger Sub I, Inc.,</w:t>
              </w:r>
            </w:hyperlink>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5"/>
                <w:szCs w:val="15"/>
                <w:color w:val="auto"/>
              </w:rPr>
            </w:pPr>
          </w:p>
        </w:tc>
        <w:tc>
          <w:tcPr>
            <w:tcW w:w="9260" w:type="dxa"/>
            <w:vAlign w:val="bottom"/>
            <w:tcBorders>
              <w:bottom w:val="single" w:sz="8" w:color="0000FF"/>
            </w:tcBorders>
            <w:gridSpan w:val="45"/>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gridSpan w:val="46"/>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Bolt Merger Sub II, Inc., and BuzzFeed, Inc.(incorporated by reference to Exhibit 2.1 to the Company’s Current Report on Form</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8-K filed on June 24, 2021).</w:t>
              </w:r>
            </w:hyperlink>
          </w:p>
        </w:tc>
        <w:tc>
          <w:tcPr>
            <w:tcW w:w="7200" w:type="dxa"/>
            <w:vAlign w:val="bottom"/>
            <w:tcBorders>
              <w:top w:val="single" w:sz="8" w:color="0000FF"/>
            </w:tcBorders>
            <w:gridSpan w:val="3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21"/>
                <w:szCs w:val="21"/>
                <w:color w:val="auto"/>
              </w:rPr>
            </w:pPr>
          </w:p>
        </w:tc>
        <w:tc>
          <w:tcPr>
            <w:tcW w:w="89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Amendment No. 1 to Agreement and Plan of Merger, dated as of October 28, 2021, by and among 890 5th Avenue Partners,</w:t>
              </w:r>
            </w:hyperlink>
          </w:p>
        </w:tc>
        <w:tc>
          <w:tcPr>
            <w:tcW w:w="34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gridSpan w:val="46"/>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Inc., Bolt Merger Sub I, Inc., Bolt Merger Sub II, Inc., and BuzzFeed, Inc. (incorporated by reference to Exhibit 2.2 to the</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Company’s Registration Statement on Form S-4/A filed on October 29, 2021).</w:t>
              </w:r>
            </w:hyperlink>
          </w:p>
        </w:tc>
        <w:tc>
          <w:tcPr>
            <w:tcW w:w="36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w:t>
            </w:r>
          </w:p>
        </w:tc>
        <w:tc>
          <w:tcPr>
            <w:tcW w:w="100" w:type="dxa"/>
            <w:vAlign w:val="bottom"/>
          </w:tcPr>
          <w:p>
            <w:pPr>
              <w:spacing w:after="0"/>
              <w:rPr>
                <w:sz w:val="21"/>
                <w:szCs w:val="21"/>
                <w:color w:val="auto"/>
              </w:rPr>
            </w:pPr>
          </w:p>
        </w:tc>
        <w:tc>
          <w:tcPr>
            <w:tcW w:w="88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Membership Interest Purchase Agreement, dated as of March 27, 2021, by and among BuzzFeed, Inc., CM Partners, LLC,</w:t>
              </w:r>
            </w:hyperlink>
          </w:p>
        </w:tc>
        <w:tc>
          <w:tcPr>
            <w:tcW w:w="46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gridSpan w:val="46"/>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Complex Media, Inc., Verizon CMP Holdings LLC and HDS II, Inc. (incorporated by reference to Exhibit 2.2 to the Company’s</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Registration Statement on Form S-4 filed on July 30, 2021).</w:t>
              </w:r>
            </w:hyperlink>
          </w:p>
        </w:tc>
        <w:tc>
          <w:tcPr>
            <w:tcW w:w="6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260" w:type="dxa"/>
            <w:vAlign w:val="bottom"/>
            <w:tcBorders>
              <w:top w:val="single" w:sz="8" w:color="0000FF"/>
            </w:tcBorders>
            <w:gridSpan w:val="30"/>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Pr>
          <w:p>
            <w:pPr>
              <w:spacing w:after="0"/>
              <w:rPr>
                <w:sz w:val="21"/>
                <w:szCs w:val="21"/>
                <w:color w:val="auto"/>
              </w:rPr>
            </w:pPr>
          </w:p>
        </w:tc>
        <w:tc>
          <w:tcPr>
            <w:tcW w:w="908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Amendment No. 1 to the Membership Interest Purchase Agreement, dated as of June 24, 2021, by and among BuzzFeed, Inc.,</w:t>
              </w:r>
            </w:hyperlink>
          </w:p>
        </w:tc>
        <w:tc>
          <w:tcPr>
            <w:tcW w:w="2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gridSpan w:val="46"/>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CM Partners, LLC, Complex Media, Inc., Verizon CMP Holdings LLC and HDS II, Inc. (incorporated by reference to Exhibit</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the Company’s Registration Statement on Form S-4 filed on July 30, 2021).</w:t>
              </w:r>
            </w:hyperlink>
          </w:p>
        </w:tc>
        <w:tc>
          <w:tcPr>
            <w:tcW w:w="46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Borders>
              <w:top w:val="single" w:sz="8" w:color="0000FF"/>
            </w:tcBorders>
            <w:gridSpan w:val="16"/>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Pr>
          <w:p>
            <w:pPr>
              <w:spacing w:after="0"/>
              <w:rPr>
                <w:sz w:val="21"/>
                <w:szCs w:val="21"/>
                <w:color w:val="auto"/>
              </w:rPr>
            </w:pPr>
          </w:p>
        </w:tc>
        <w:tc>
          <w:tcPr>
            <w:tcW w:w="904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Asset Purchase Agreement, dated as of February 21, 2024, by and between BuzzFeed Media Enterprises, Inc. and Commerce</w:t>
              </w:r>
            </w:hyperlink>
          </w:p>
        </w:tc>
        <w:tc>
          <w:tcPr>
            <w:tcW w:w="24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Borders>
              <w:bottom w:val="single" w:sz="8" w:color="0000FF"/>
            </w:tcBorders>
            <w:gridSpan w:val="43"/>
          </w:tcPr>
          <w:p>
            <w:pPr>
              <w:spacing w:after="0" w:line="196"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Media Holdings, LLC (incorporated by reference to Exhibit 2.3 to the Company’s Annual Report on Form 10-K filed on March</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76">
              <w:r>
                <w:rPr>
                  <w:rFonts w:ascii="Times New Roman" w:cs="Times New Roman" w:eastAsia="Times New Roman" w:hAnsi="Times New Roman"/>
                  <w:sz w:val="18"/>
                  <w:szCs w:val="18"/>
                  <w:color w:val="0000FF"/>
                  <w:w w:val="97"/>
                </w:rPr>
                <w:t>29, 2024).</w:t>
              </w:r>
            </w:hyperlink>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1"/>
                <w:szCs w:val="21"/>
                <w:color w:val="auto"/>
              </w:rPr>
            </w:pPr>
          </w:p>
        </w:tc>
        <w:tc>
          <w:tcPr>
            <w:tcW w:w="9280" w:type="dxa"/>
            <w:vAlign w:val="bottom"/>
            <w:gridSpan w:val="46"/>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 xml:space="preserve">Second Amended and Restated Certificate of Incorporation of BuzzFeed, Inc., </w:t>
              </w:r>
              <w:r>
                <w:rPr>
                  <w:rFonts w:ascii="Times New Roman" w:cs="Times New Roman" w:eastAsia="Times New Roman" w:hAnsi="Times New Roman"/>
                  <w:sz w:val="18"/>
                  <w:szCs w:val="18"/>
                  <w:color w:val="0000EE"/>
                </w:rPr>
                <w:t>(incorporated by reference to Exhibit 3.1 to the</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Borders>
              <w:top w:val="single" w:sz="8" w:color="0000FF"/>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Company’s Current Report on Form 8-K filed on December 3, 2021).</w:t>
              </w:r>
            </w:hyperlink>
          </w:p>
        </w:tc>
        <w:tc>
          <w:tcPr>
            <w:tcW w:w="62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3400" w:type="dxa"/>
            <w:vAlign w:val="bottom"/>
            <w:tcBorders>
              <w:top w:val="single" w:sz="8" w:color="0000EE"/>
            </w:tcBorders>
            <w:gridSpan w:val="19"/>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9280" w:type="dxa"/>
            <w:vAlign w:val="bottom"/>
            <w:gridSpan w:val="46"/>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Certificate of Change of Registered Agent and/or Registered Office, dated as of March 13, 2023 (incorporated by reference to</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Exhibit 3.1 to the Company's Current Report on Form 8-K filed on March 15, 2023).</w:t>
              </w:r>
            </w:hyperlink>
          </w:p>
        </w:tc>
        <w:tc>
          <w:tcPr>
            <w:tcW w:w="820" w:type="dxa"/>
            <w:vAlign w:val="bottom"/>
            <w:tcBorders>
              <w:top w:val="single" w:sz="8" w:color="0000FF"/>
            </w:tcBorders>
            <w:gridSpan w:val="3"/>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top w:val="single" w:sz="8" w:color="0000FF"/>
            </w:tcBorders>
            <w:gridSpan w:val="12"/>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1"/>
                <w:szCs w:val="21"/>
                <w:color w:val="auto"/>
              </w:rPr>
            </w:pPr>
          </w:p>
        </w:tc>
        <w:tc>
          <w:tcPr>
            <w:tcW w:w="9280" w:type="dxa"/>
            <w:vAlign w:val="bottom"/>
            <w:tcBorders>
              <w:bottom w:val="single" w:sz="8" w:color="0000FF"/>
            </w:tcBorders>
            <w:gridSpan w:val="46"/>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Certificate of Amendment of Second Amended and Restated Certificate of Incorporation of BuzzFeed, Inc. filed on June 1, 2023</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60" w:type="dxa"/>
            <w:vAlign w:val="bottom"/>
            <w:tcBorders>
              <w:bottom w:val="single" w:sz="8" w:color="0000FF"/>
            </w:tcBorders>
            <w:gridSpan w:val="42"/>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(incorporated by reference to Exhibit 3.3 to the Company’s Quarterly Report on Form 10-Q for the period ended June 30, 2023</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filed on August 9, 2023).</w:t>
              </w:r>
            </w:hyperlink>
          </w:p>
        </w:tc>
        <w:tc>
          <w:tcPr>
            <w:tcW w:w="7460" w:type="dxa"/>
            <w:vAlign w:val="bottom"/>
            <w:gridSpan w:val="4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1"/>
                <w:szCs w:val="21"/>
                <w:color w:val="auto"/>
              </w:rPr>
            </w:pPr>
          </w:p>
        </w:tc>
        <w:tc>
          <w:tcPr>
            <w:tcW w:w="9260" w:type="dxa"/>
            <w:vAlign w:val="bottom"/>
            <w:tcBorders>
              <w:bottom w:val="single" w:sz="8" w:color="0000FF"/>
            </w:tcBorders>
            <w:gridSpan w:val="45"/>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Second Amendment to the Second Amended and Restated Certificate of Incorporation of BuzzFeed, Inc. filed on April 26, 2024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(incorporated by reference to Exhibit 3.1 to the Company’s Current Report on Form 8-K filed on May 2, 2024).</w:t>
              </w:r>
            </w:hyperlink>
          </w:p>
        </w:tc>
        <w:tc>
          <w:tcPr>
            <w:tcW w:w="12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Pr>
          <w:p>
            <w:pPr>
              <w:spacing w:after="0"/>
              <w:rPr>
                <w:sz w:val="21"/>
                <w:szCs w:val="21"/>
                <w:color w:val="auto"/>
              </w:rPr>
            </w:pPr>
          </w:p>
        </w:tc>
        <w:tc>
          <w:tcPr>
            <w:tcW w:w="9280" w:type="dxa"/>
            <w:vAlign w:val="bottom"/>
            <w:gridSpan w:val="46"/>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Restated Bylaws of BuzzFeed, Inc. (incorporated by reference to Exhibit 3.2 to the Company’s Current Report on Form 8-K</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filed on December 9, 2021).</w:t>
              </w:r>
            </w:hyperlink>
          </w:p>
        </w:tc>
        <w:tc>
          <w:tcPr>
            <w:tcW w:w="50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6360" w:type="dxa"/>
            <w:vAlign w:val="bottom"/>
            <w:tcBorders>
              <w:top w:val="single" w:sz="8" w:color="0000FF"/>
            </w:tcBorders>
            <w:gridSpan w:val="27"/>
          </w:tcPr>
          <w:p>
            <w:pPr>
              <w:spacing w:after="0"/>
              <w:rPr>
                <w:sz w:val="17"/>
                <w:szCs w:val="17"/>
                <w:color w:val="auto"/>
              </w:rPr>
            </w:pPr>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1"/>
                <w:szCs w:val="21"/>
                <w:color w:val="auto"/>
              </w:rPr>
            </w:pPr>
          </w:p>
        </w:tc>
        <w:tc>
          <w:tcPr>
            <w:tcW w:w="9280" w:type="dxa"/>
            <w:vAlign w:val="bottom"/>
            <w:gridSpan w:val="46"/>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Specimen Common Stock Certificate (incorporated by reference to Exhibit 4.1 to the Company's Registration Statement on</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80" w:type="dxa"/>
            <w:vAlign w:val="bottom"/>
            <w:tcBorders>
              <w:top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S-4/A filed on October 1, 2021).</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180" w:type="dxa"/>
            <w:vAlign w:val="bottom"/>
            <w:gridSpan w:val="1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1"/>
                <w:szCs w:val="21"/>
                <w:color w:val="auto"/>
              </w:rPr>
            </w:pPr>
          </w:p>
        </w:tc>
        <w:tc>
          <w:tcPr>
            <w:tcW w:w="9280" w:type="dxa"/>
            <w:vAlign w:val="bottom"/>
            <w:gridSpan w:val="46"/>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Specimen Warrant Certificate (incorporated by reference to Exhibit 4.3 to the Company's Registration Statement on Form S-1/A</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filed on January 6, 2021).</w:t>
              </w:r>
            </w:hyperlink>
          </w:p>
        </w:tc>
        <w:tc>
          <w:tcPr>
            <w:tcW w:w="7380" w:type="dxa"/>
            <w:vAlign w:val="bottom"/>
            <w:tcBorders>
              <w:top w:val="single" w:sz="8" w:color="0000FF"/>
            </w:tcBorders>
            <w:gridSpan w:val="40"/>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1"/>
                <w:szCs w:val="21"/>
                <w:color w:val="auto"/>
              </w:rPr>
            </w:pPr>
          </w:p>
        </w:tc>
        <w:tc>
          <w:tcPr>
            <w:tcW w:w="9280" w:type="dxa"/>
            <w:vAlign w:val="bottom"/>
            <w:gridSpan w:val="46"/>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Indenture, dated December 3, 2021, by and between BuzzFeed, Inc. and Wilmington Savings Fund Society, a federal savings</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80" w:type="dxa"/>
            <w:vAlign w:val="bottom"/>
            <w:gridSpan w:val="9"/>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180" w:type="dxa"/>
            <w:vAlign w:val="bottom"/>
            <w:gridSpan w:val="1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4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bank, as Trustee (incorporated by reference to Exhibit 4.3 to the Company's Current Report on Form 8-K filed on December 9,</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83">
              <w:r>
                <w:rPr>
                  <w:rFonts w:ascii="Times New Roman" w:cs="Times New Roman" w:eastAsia="Times New Roman" w:hAnsi="Times New Roman"/>
                  <w:sz w:val="18"/>
                  <w:szCs w:val="18"/>
                  <w:color w:val="0000FF"/>
                  <w:w w:val="98"/>
                </w:rPr>
                <w:t>2021.</w:t>
              </w:r>
            </w:hyperlink>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1"/>
                <w:szCs w:val="21"/>
                <w:color w:val="auto"/>
              </w:rPr>
            </w:pPr>
          </w:p>
        </w:tc>
        <w:tc>
          <w:tcPr>
            <w:tcW w:w="90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Form of Global Note (included in Exhibit 4.3) (incorporated by reference to Exhibit 4.4 to the Company's Current Report on</w:t>
              </w:r>
            </w:hyperlink>
          </w:p>
        </w:tc>
        <w:tc>
          <w:tcPr>
            <w:tcW w:w="2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Form 8-K filed on December 9, 2021).</w:t>
              </w:r>
            </w:hyperlink>
          </w:p>
        </w:tc>
        <w:tc>
          <w:tcPr>
            <w:tcW w:w="648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1"/>
                <w:szCs w:val="21"/>
                <w:color w:val="auto"/>
              </w:rPr>
            </w:pPr>
          </w:p>
        </w:tc>
        <w:tc>
          <w:tcPr>
            <w:tcW w:w="89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First Supplemental Indenture, dated as of July 10, 2023, to the Indenture, dated December 3, 2021 between BuzzFeed, Inc.,</w:t>
              </w:r>
            </w:hyperlink>
          </w:p>
        </w:tc>
        <w:tc>
          <w:tcPr>
            <w:tcW w:w="38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BuzzFeed Canada, Inc., and Wilmington Savings Fund Society, a Federal Savings Bank, as Trustee.</w:t>
              </w:r>
            </w:hyperlink>
          </w:p>
        </w:tc>
        <w:tc>
          <w:tcPr>
            <w:tcW w:w="20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1"/>
                <w:szCs w:val="21"/>
                <w:color w:val="auto"/>
              </w:rPr>
            </w:pPr>
          </w:p>
        </w:tc>
        <w:tc>
          <w:tcPr>
            <w:tcW w:w="9280" w:type="dxa"/>
            <w:vAlign w:val="bottom"/>
            <w:gridSpan w:val="46"/>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Second Supplemental Indenture, dated February 28, 2024, to the Indenture dated December 3, 2021 between BuzzFeed, Inc. and</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tcBorders>
              <w:top w:val="single" w:sz="8" w:color="0000FF"/>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Wilmington Savings Fund Society, a Federal Savings Bank, as Trustee (incorporated by reference to Exhibit 4.1 to the</w:t>
              </w:r>
            </w:hyperlink>
          </w:p>
        </w:tc>
        <w:tc>
          <w:tcPr>
            <w:tcW w:w="74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Company’s Current Report on Form 8-K filed on February 29, 2024).</w:t>
              </w:r>
            </w:hyperlink>
          </w:p>
        </w:tc>
        <w:tc>
          <w:tcPr>
            <w:tcW w:w="42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928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 15d-14(a) under the Exchange Act, as adopted</w:t>
            </w: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4480" w:type="dxa"/>
            <w:vAlign w:val="bottom"/>
            <w:tcBorders>
              <w:top w:val="single" w:sz="8" w:color="0000FF"/>
            </w:tcBorders>
            <w:gridSpan w:val="20"/>
          </w:tcPr>
          <w:p>
            <w:pPr>
              <w:spacing w:after="0"/>
              <w:rPr>
                <w:sz w:val="17"/>
                <w:szCs w:val="17"/>
                <w:color w:val="auto"/>
              </w:rPr>
            </w:pPr>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513" w:right="37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31.2</w:t>
            </w:r>
          </w:p>
        </w:tc>
        <w:tc>
          <w:tcPr>
            <w:tcW w:w="8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 13a-14(a) and 15d-14(a) under the Exchange Act, as adopted</w:t>
            </w:r>
          </w:p>
        </w:tc>
        <w:tc>
          <w:tcPr>
            <w:tcW w:w="40" w:type="dxa"/>
            <w:vAlign w:val="bottom"/>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43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4480" w:type="dxa"/>
            <w:vAlign w:val="bottom"/>
            <w:gridSpan w:val="3"/>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32.1#</w:t>
            </w:r>
          </w:p>
        </w:tc>
        <w:tc>
          <w:tcPr>
            <w:tcW w:w="8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w:t>
            </w:r>
          </w:p>
        </w:tc>
      </w:tr>
      <w:tr>
        <w:trPr>
          <w:trHeight w:val="196"/>
        </w:trPr>
        <w:tc>
          <w:tcPr>
            <w:tcW w:w="1600" w:type="dxa"/>
            <w:vAlign w:val="bottom"/>
          </w:tcPr>
          <w:p>
            <w:pPr>
              <w:spacing w:after="0"/>
              <w:rPr>
                <w:sz w:val="17"/>
                <w:szCs w:val="17"/>
                <w:color w:val="auto"/>
              </w:rPr>
            </w:pPr>
          </w:p>
        </w:tc>
        <w:tc>
          <w:tcPr>
            <w:tcW w:w="88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6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32.2#</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96"/>
        </w:trPr>
        <w:tc>
          <w:tcPr>
            <w:tcW w:w="1600" w:type="dxa"/>
            <w:vAlign w:val="bottom"/>
          </w:tcPr>
          <w:p>
            <w:pPr>
              <w:spacing w:after="0"/>
              <w:rPr>
                <w:sz w:val="17"/>
                <w:szCs w:val="17"/>
                <w:color w:val="auto"/>
              </w:rPr>
            </w:pPr>
          </w:p>
        </w:tc>
        <w:tc>
          <w:tcPr>
            <w:tcW w:w="874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 w:type="dxa"/>
            <w:vAlign w:val="bottom"/>
            <w:gridSpan w:val="2"/>
          </w:tcPr>
          <w:p>
            <w:pPr>
              <w:spacing w:after="0"/>
              <w:rPr>
                <w:sz w:val="17"/>
                <w:szCs w:val="17"/>
                <w:color w:val="auto"/>
              </w:rPr>
            </w:pPr>
          </w:p>
        </w:tc>
      </w:tr>
      <w:tr>
        <w:trPr>
          <w:trHeight w:val="291"/>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101.INS</w:t>
            </w:r>
          </w:p>
        </w:tc>
        <w:tc>
          <w:tcPr>
            <w:tcW w:w="2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700" w:type="dxa"/>
            <w:vAlign w:val="bottom"/>
            <w:gridSpan w:val="4"/>
          </w:tcPr>
          <w:p>
            <w:pPr>
              <w:spacing w:after="0"/>
              <w:rPr>
                <w:sz w:val="24"/>
                <w:szCs w:val="24"/>
                <w:color w:val="auto"/>
              </w:rPr>
            </w:pP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101.SCHXBRL</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27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101.CAL XBRL</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101.DEF XBRL</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Definition Linkbase Document.</w:t>
            </w:r>
          </w:p>
        </w:tc>
      </w:tr>
      <w:tr>
        <w:trPr>
          <w:trHeight w:val="27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101.LAB XBRL</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101.PRE XBRL</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6"/>
              </w:rPr>
              <w:t>104</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included in Exhibit 101).</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firstLine="8"/>
        <w:spacing w:after="0" w:line="260" w:lineRule="auto"/>
        <w:tabs>
          <w:tab w:leader="none" w:pos="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Registrant has omitted portions of this Exhibit as permitted under Item 601(b)(1) of Regulation S-K.</w:t>
      </w:r>
    </w:p>
    <w:p>
      <w:pPr>
        <w:spacing w:after="0" w:line="252" w:lineRule="exact"/>
        <w:rPr>
          <w:sz w:val="20"/>
          <w:szCs w:val="20"/>
          <w:color w:val="auto"/>
        </w:rPr>
      </w:pPr>
    </w:p>
    <w:p>
      <w:pPr>
        <w:jc w:val="both"/>
        <w:ind w:firstLine="8"/>
        <w:spacing w:after="0" w:line="266" w:lineRule="auto"/>
        <w:tabs>
          <w:tab w:leader="none" w:pos="1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BuzzFeed, Inc.</w:t>
      </w:r>
    </w:p>
    <w:p>
      <w:pPr>
        <w:spacing w:after="0" w:line="333"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257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p>
      <w:pPr>
        <w:spacing w:after="0" w:line="241"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13,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51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certify that:</w:t>
      </w:r>
    </w:p>
    <w:p>
      <w:pPr>
        <w:spacing w:after="0" w:line="18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34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Jonah Peretti</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Omer, certify that:</w:t>
      </w:r>
    </w:p>
    <w:p>
      <w:pPr>
        <w:spacing w:after="0" w:line="18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343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Matt Omer</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Chief Executive Officer of BuzzFeed,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66"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2024 (the “Report”) fully complies with the requirements of Section 13(a) or 15(d) of the Securities Exchange Act of 1934, as amended; and</w:t>
      </w:r>
    </w:p>
    <w:p>
      <w:pPr>
        <w:spacing w:after="0" w:line="134" w:lineRule="exact"/>
        <w:rPr>
          <w:rFonts w:ascii="Times New Roman" w:cs="Times New Roman" w:eastAsia="Times New Roman" w:hAnsi="Times New Roman"/>
          <w:sz w:val="18"/>
          <w:szCs w:val="18"/>
          <w:color w:val="auto"/>
        </w:rPr>
      </w:pPr>
    </w:p>
    <w:p>
      <w:pPr>
        <w:ind w:right="200" w:firstLine="332"/>
        <w:spacing w:after="0" w:line="477"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August 13, 2024</w:t>
      </w:r>
    </w:p>
    <w:p>
      <w:pPr>
        <w:spacing w:after="0" w:line="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34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Jonah Peretti</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Omer, Chief Financial Officer of BuzzFeed,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66"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2024 (the “Report”) fully complies with the requirements of Section 13(a) or 15(d) of the Securities Exchange Act of 1934, as amended; and</w:t>
      </w:r>
    </w:p>
    <w:p>
      <w:pPr>
        <w:spacing w:after="0" w:line="134" w:lineRule="exact"/>
        <w:rPr>
          <w:rFonts w:ascii="Times New Roman" w:cs="Times New Roman" w:eastAsia="Times New Roman" w:hAnsi="Times New Roman"/>
          <w:sz w:val="18"/>
          <w:szCs w:val="18"/>
          <w:color w:val="auto"/>
        </w:rPr>
      </w:pPr>
    </w:p>
    <w:p>
      <w:pPr>
        <w:ind w:right="200" w:firstLine="332"/>
        <w:spacing w:after="0" w:line="485"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August 13, 2024</w:t>
      </w: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26035</wp:posOffset>
            </wp:positionV>
            <wp:extent cx="27343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Matt Omer</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decimal"/>
      <w:start w:val="14"/>
    </w:lvl>
  </w:abstractNum>
  <w:abstractNum w:abstractNumId="7">
    <w:nsid w:val="1BEFD79F"/>
    <w:multiLevelType w:val="hybridMultilevel"/>
    <w:lvl w:ilvl="0">
      <w:lvlJc w:val="left"/>
      <w:lvlText w:val="%1."/>
      <w:numFmt w:val="decimal"/>
      <w:start w:val="17"/>
    </w:lvl>
  </w:abstractNum>
  <w:abstractNum w:abstractNumId="8">
    <w:nsid w:val="41A7C4C9"/>
    <w:multiLevelType w:val="hybridMultilevel"/>
    <w:lvl w:ilvl="0">
      <w:lvlJc w:val="left"/>
      <w:lvlText w:val="%1."/>
      <w:numFmt w:val="decimal"/>
      <w:start w:val="19"/>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Roman"/>
      <w:start w:val="2"/>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71" Type="http://schemas.openxmlformats.org/officeDocument/2006/relationships/hyperlink" Target="https://www.sec.gov/Archives/edgar/data/1828972/000110465921085218/tm2120621d1_ex2-1.htm" TargetMode="External"/><Relationship Id="rId72" Type="http://schemas.openxmlformats.org/officeDocument/2006/relationships/hyperlink" Target="https://www.sec.gov/Archives/edgar/data/1828972/000110465921136139/tm2122219-17_s4a.htm#tANNA1" TargetMode="External"/><Relationship Id="rId73" Type="http://schemas.openxmlformats.org/officeDocument/2006/relationships/hyperlink" Target="https://www.sec.gov/Archives/edgar/data/1828972/000110465921148188/tm2134844d1_ex3-2.htm" TargetMode="External"/><Relationship Id="rId74" Type="http://schemas.openxmlformats.org/officeDocument/2006/relationships/hyperlink" Target="https://www.sec.gov/Archives/edgar/data/1828972/000110465921098380/tm2122219d3_ex2-2.htm" TargetMode="External"/><Relationship Id="rId75" Type="http://schemas.openxmlformats.org/officeDocument/2006/relationships/hyperlink" Target="https://www.sec.gov/Archives/edgar/data/1828972/000110465921098380/tm2122219d3_ex2-3.htm" TargetMode="External"/><Relationship Id="rId76" Type="http://schemas.openxmlformats.org/officeDocument/2006/relationships/hyperlink" Target="https://www.sec.gov/Archives/edgar/data/1828972/000182897224000015/exhibit21-apa.htm" TargetMode="External"/><Relationship Id="rId77" Type="http://schemas.openxmlformats.org/officeDocument/2006/relationships/hyperlink" Target="https://www.sec.gov/Archives/edgar/data/1828972/000110465921148188/tm2134844d1_ex3-1.htm" TargetMode="External"/><Relationship Id="rId78" Type="http://schemas.openxmlformats.org/officeDocument/2006/relationships/hyperlink" Target="https://www.sec.gov/Archives/edgar/data/1828972/000182897223000025/exhibit31delaware-buzzfeed.htm" TargetMode="External"/><Relationship Id="rId79" Type="http://schemas.openxmlformats.org/officeDocument/2006/relationships/hyperlink" Target="https://www.sec.gov/Archives/edgar/data/1828972/000182897223000141/exhibit33.htm" TargetMode="External"/><Relationship Id="rId80" Type="http://schemas.openxmlformats.org/officeDocument/2006/relationships/hyperlink" Target="https://www.sec.gov/Archives/edgar/data/1828972/000182897224000099/ex31certificateofamendment.htm" TargetMode="External"/><Relationship Id="rId81" Type="http://schemas.openxmlformats.org/officeDocument/2006/relationships/hyperlink" Target="https://www.sec.gov/Archives/edgar/data/1828972/000110465921122092/enfa-20211001xex4d1.htm" TargetMode="External"/><Relationship Id="rId82" Type="http://schemas.openxmlformats.org/officeDocument/2006/relationships/hyperlink" Target="https://www.sec.gov/Archives/edgar/data/1828972/000110465921001623/tm2034583d8_ex4-4.htm" TargetMode="External"/><Relationship Id="rId83" Type="http://schemas.openxmlformats.org/officeDocument/2006/relationships/hyperlink" Target="https://www.sec.gov/Archives/edgar/data/1828972/000110465921148188/tm2134844d1_ex4-3.htm" TargetMode="External"/><Relationship Id="rId84" Type="http://schemas.openxmlformats.org/officeDocument/2006/relationships/hyperlink" Target="https://www.sec.gov/Archives/edgar/data/1828972/000182897223000141/buzzfeed-firstsupplemental.htm" TargetMode="External"/><Relationship Id="rId85" Type="http://schemas.openxmlformats.org/officeDocument/2006/relationships/hyperlink" Target="https://www.sec.gov/Archives/edgar/data/1828972/000182897224000019/exhibit41-secondsuppl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2024-08-13T16:30:39Z</dcterms:created>
  <dcterms:modified xsi:type="dcterms:W3CDTF">2024-08-13T16:30:39Z</dcterms:modified>
</cp:coreProperties>
</file>