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94615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9" w:lineRule="exact"/>
        <w:rPr>
          <w:sz w:val="24"/>
          <w:szCs w:val="24"/>
          <w:color w:val="auto"/>
        </w:rPr>
      </w:pPr>
    </w:p>
    <w:p>
      <w:pPr>
        <w:ind w:left="140"/>
        <w:spacing w:after="0"/>
        <w:tabs>
          <w:tab w:leader="none" w:pos="16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2021</w:t>
      </w:r>
    </w:p>
    <w:p>
      <w:pPr>
        <w:spacing w:after="0" w:line="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 w:lineRule="exact"/>
        <w:rPr>
          <w:sz w:val="24"/>
          <w:szCs w:val="24"/>
          <w:color w:val="auto"/>
        </w:rPr>
      </w:pPr>
    </w:p>
    <w:p>
      <w:pPr>
        <w:ind w:left="1500" w:hanging="1356"/>
        <w:spacing w:after="0"/>
        <w:tabs>
          <w:tab w:leader="none" w:pos="1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246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306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001-39877</w:t>
            </w:r>
          </w:p>
        </w:tc>
        <w:tc>
          <w:tcPr>
            <w:tcW w:w="2460" w:type="dxa"/>
            <w:vAlign w:val="bottom"/>
          </w:tcPr>
          <w:p>
            <w:pPr>
              <w:spacing w:after="0"/>
              <w:rPr>
                <w:sz w:val="17"/>
                <w:szCs w:val="17"/>
                <w:color w:val="auto"/>
              </w:rPr>
            </w:pPr>
          </w:p>
        </w:tc>
      </w:tr>
      <w:tr>
        <w:trPr>
          <w:trHeight w:val="98"/>
        </w:trPr>
        <w:tc>
          <w:tcPr>
            <w:tcW w:w="306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r>
      <w:tr>
        <w:trPr>
          <w:trHeight w:val="367"/>
        </w:trPr>
        <w:tc>
          <w:tcPr>
            <w:tcW w:w="30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27"/>
                <w:szCs w:val="27"/>
                <w:b w:val="1"/>
                <w:bCs w:val="1"/>
                <w:color w:val="auto"/>
                <w:w w:val="99"/>
              </w:rPr>
              <w:t>BuzzFeed, Inc.</w:t>
            </w:r>
          </w:p>
        </w:tc>
        <w:tc>
          <w:tcPr>
            <w:tcW w:w="2460" w:type="dxa"/>
            <w:vAlign w:val="bottom"/>
          </w:tcPr>
          <w:p>
            <w:pPr>
              <w:spacing w:after="0"/>
              <w:rPr>
                <w:sz w:val="24"/>
                <w:szCs w:val="24"/>
                <w:color w:val="auto"/>
              </w:rPr>
            </w:pPr>
          </w:p>
        </w:tc>
      </w:tr>
      <w:tr>
        <w:trPr>
          <w:trHeight w:val="190"/>
        </w:trPr>
        <w:tc>
          <w:tcPr>
            <w:tcW w:w="800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98"/>
        </w:trPr>
        <w:tc>
          <w:tcPr>
            <w:tcW w:w="306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r>
      <w:tr>
        <w:trPr>
          <w:trHeight w:val="286"/>
        </w:trPr>
        <w:tc>
          <w:tcPr>
            <w:tcW w:w="5540" w:type="dxa"/>
            <w:vAlign w:val="bottom"/>
            <w:gridSpan w:val="2"/>
          </w:tcPr>
          <w:p>
            <w:pPr>
              <w:jc w:val="center"/>
              <w:ind w:right="170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85-3022075</w:t>
            </w:r>
          </w:p>
        </w:tc>
      </w:tr>
      <w:tr>
        <w:trPr>
          <w:trHeight w:val="146"/>
        </w:trPr>
        <w:tc>
          <w:tcPr>
            <w:tcW w:w="5540" w:type="dxa"/>
            <w:vAlign w:val="bottom"/>
            <w:gridSpan w:val="2"/>
          </w:tcPr>
          <w:p>
            <w:pPr>
              <w:jc w:val="center"/>
              <w:ind w:right="1727"/>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46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51"/>
        </w:trPr>
        <w:tc>
          <w:tcPr>
            <w:tcW w:w="5540" w:type="dxa"/>
            <w:vAlign w:val="bottom"/>
            <w:gridSpan w:val="2"/>
          </w:tcPr>
          <w:p>
            <w:pPr>
              <w:jc w:val="center"/>
              <w:ind w:right="1727"/>
              <w:spacing w:after="0" w:line="151" w:lineRule="exact"/>
              <w:rPr>
                <w:sz w:val="20"/>
                <w:szCs w:val="20"/>
                <w:color w:val="auto"/>
              </w:rPr>
            </w:pPr>
            <w:r>
              <w:rPr>
                <w:rFonts w:ascii="Times New Roman" w:cs="Times New Roman" w:eastAsia="Times New Roman" w:hAnsi="Times New Roman"/>
                <w:sz w:val="12"/>
                <w:szCs w:val="12"/>
                <w:b w:val="1"/>
                <w:bCs w:val="1"/>
                <w:color w:val="auto"/>
              </w:rPr>
              <w:t>111 East 18</w:t>
            </w:r>
            <w:r>
              <w:rPr>
                <w:rFonts w:ascii="Times New Roman" w:cs="Times New Roman" w:eastAsia="Times New Roman" w:hAnsi="Times New Roman"/>
                <w:sz w:val="17"/>
                <w:szCs w:val="17"/>
                <w:b w:val="1"/>
                <w:bCs w:val="1"/>
                <w:color w:val="auto"/>
                <w:vertAlign w:val="superscript"/>
              </w:rPr>
              <w:t>th</w:t>
            </w:r>
            <w:r>
              <w:rPr>
                <w:rFonts w:ascii="Times New Roman" w:cs="Times New Roman" w:eastAsia="Times New Roman" w:hAnsi="Times New Roman"/>
                <w:sz w:val="12"/>
                <w:szCs w:val="12"/>
                <w:b w:val="1"/>
                <w:bCs w:val="1"/>
                <w:color w:val="auto"/>
              </w:rPr>
              <w:t xml:space="preserve"> Street New York, New York</w:t>
            </w:r>
          </w:p>
        </w:tc>
        <w:tc>
          <w:tcPr>
            <w:tcW w:w="2460" w:type="dxa"/>
            <w:vAlign w:val="bottom"/>
          </w:tcPr>
          <w:p>
            <w:pPr>
              <w:jc w:val="right"/>
              <w:ind w:right="848"/>
              <w:spacing w:after="0" w:line="151" w:lineRule="exact"/>
              <w:rPr>
                <w:sz w:val="20"/>
                <w:szCs w:val="20"/>
                <w:color w:val="auto"/>
              </w:rPr>
            </w:pPr>
            <w:r>
              <w:rPr>
                <w:rFonts w:ascii="Times New Roman" w:cs="Times New Roman" w:eastAsia="Times New Roman" w:hAnsi="Times New Roman"/>
                <w:sz w:val="14"/>
                <w:szCs w:val="14"/>
                <w:b w:val="1"/>
                <w:bCs w:val="1"/>
                <w:color w:val="auto"/>
              </w:rPr>
              <w:t>10003</w:t>
            </w:r>
          </w:p>
        </w:tc>
      </w:tr>
      <w:tr>
        <w:trPr>
          <w:trHeight w:val="190"/>
        </w:trPr>
        <w:tc>
          <w:tcPr>
            <w:tcW w:w="5540" w:type="dxa"/>
            <w:vAlign w:val="bottom"/>
            <w:gridSpan w:val="2"/>
          </w:tcPr>
          <w:p>
            <w:pPr>
              <w:jc w:val="center"/>
              <w:ind w:right="170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(646) 589-8592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Borders>
              <w:top w:val="single" w:sz="8" w:color="auto"/>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Borders>
              <w:top w:val="single" w:sz="8" w:color="auto"/>
              <w:bottom w:val="single" w:sz="8" w:color="auto"/>
              <w:right w:val="single" w:sz="8" w:color="auto"/>
            </w:tcBorders>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2"/>
        </w:trPr>
        <w:tc>
          <w:tcPr>
            <w:tcW w:w="41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82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BZFD</w:t>
            </w:r>
          </w:p>
        </w:tc>
        <w:tc>
          <w:tcPr>
            <w:tcW w:w="3960" w:type="dxa"/>
            <w:vAlign w:val="bottom"/>
            <w:tcBorders>
              <w:bottom w:val="single" w:sz="8" w:color="auto"/>
              <w:right w:val="single" w:sz="8" w:color="auto"/>
            </w:tcBorders>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19"/>
        </w:trPr>
        <w:tc>
          <w:tcPr>
            <w:tcW w:w="414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Redeemable warrants, each whole warrant exercisable for one share of</w:t>
            </w:r>
          </w:p>
        </w:tc>
        <w:tc>
          <w:tcPr>
            <w:tcW w:w="1820" w:type="dxa"/>
            <w:vAlign w:val="bottom"/>
            <w:tcBorders>
              <w:right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BZFDW</w:t>
            </w:r>
          </w:p>
        </w:tc>
        <w:tc>
          <w:tcPr>
            <w:tcW w:w="3960" w:type="dxa"/>
            <w:vAlign w:val="bottom"/>
            <w:tcBorders>
              <w:right w:val="single" w:sz="8" w:color="auto"/>
            </w:tcBorders>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71"/>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at an exercise price of $11.50 per share</w:t>
            </w:r>
          </w:p>
        </w:tc>
        <w:tc>
          <w:tcPr>
            <w:tcW w:w="1820" w:type="dxa"/>
            <w:vAlign w:val="bottom"/>
            <w:tcBorders>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220" w:type="dxa"/>
            <w:vAlign w:val="bottom"/>
            <w:gridSpan w:val="3"/>
          </w:tcPr>
          <w:p>
            <w:pPr>
              <w:ind w:left="31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700" w:type="dxa"/>
            <w:vAlign w:val="bottom"/>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2"/>
        </w:trPr>
        <w:tc>
          <w:tcPr>
            <w:tcW w:w="8220" w:type="dxa"/>
            <w:vAlign w:val="bottom"/>
            <w:gridSpan w:val="3"/>
          </w:tcPr>
          <w:p>
            <w:pPr>
              <w:jc w:val="center"/>
              <w:ind w:left="1029"/>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gridSpan w:val="3"/>
          </w:tcPr>
          <w:p>
            <w:pPr>
              <w:jc w:val="center"/>
              <w:ind w:left="1009"/>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170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240" w:right="220" w:firstLine="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jc w:val="center"/>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center"/>
        <w:ind w:left="1000" w:right="2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780" w:type="dxa"/>
        <w:tblCellMar>
          <w:top w:w="0" w:type="dxa"/>
          <w:left w:w="0" w:type="dxa"/>
          <w:bottom w:w="0" w:type="dxa"/>
          <w:right w:w="0" w:type="dxa"/>
        </w:tblCellMar>
      </w:tblPr>
      <w:tr>
        <w:trPr>
          <w:trHeight w:val="181"/>
        </w:trPr>
        <w:tc>
          <w:tcPr>
            <w:tcW w:w="20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Large accelerated filer</w:t>
            </w:r>
          </w:p>
        </w:tc>
        <w:tc>
          <w:tcPr>
            <w:tcW w:w="23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02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Non-accelerated filer</w:t>
            </w:r>
          </w:p>
        </w:tc>
        <w:tc>
          <w:tcPr>
            <w:tcW w:w="23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2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Emerging growth company</w:t>
            </w:r>
          </w:p>
        </w:tc>
        <w:tc>
          <w:tcPr>
            <w:tcW w:w="23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49" w:lineRule="exact"/>
        <w:rPr>
          <w:sz w:val="24"/>
          <w:szCs w:val="24"/>
          <w:color w:val="auto"/>
        </w:rPr>
      </w:pPr>
    </w:p>
    <w:p>
      <w:pPr>
        <w:jc w:val="center"/>
        <w:ind w:left="1000" w:right="2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jc w:val="center"/>
        <w:ind w:left="1000"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whether the registrant is a shell company (as defined in Rule 12b-2 of the Exchange Act).Yes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100"/>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voting and non-voting stock held by non-affiliates of 890 5th Avenue Partners, Inc. (“890”), our predecessor, on June 30, 2021, the last business day of the registrant’s most recently completed second fiscal quarter, based on the closing price of $9.86 for shares of 890’s Class A common stock then listed on the Nasdaq Stock Market LLC, was approximately $27.6 million. Shares of common stock beneficially owned by each executive officer, director and holder of more than 10% of common stock have been excluded in that such persons may be deemed to be affiliates.</w:t>
      </w:r>
    </w:p>
    <w:p>
      <w:pPr>
        <w:spacing w:after="0" w:line="4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4"/>
          <w:szCs w:val="14"/>
          <w:color w:val="auto"/>
        </w:rPr>
        <w:t>As of March 28, 2022, there were 116,689,303 shares of the registrant’s Class A common stock outstanding, 12,293,614 shares of the registrant’s Class B common stock outstanding and 6,478,031 shares of the registrant’s Class C common stock outstanding.</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Specifically identified portions of the registrant’s proxy statement for the 2022 Annual Meeting of Stockholders, which will be filed no later than 120 days after the close of the registrant’s fiscal year ended December 31, 2021, are incorporated by reference into Part III of this report. Except with respect to information specifically incorporated by reference in this Annual Report, the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2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20" w:type="dxa"/>
            <w:vAlign w:val="bottom"/>
          </w:tcPr>
          <w:p>
            <w:pPr>
              <w:spacing w:after="0"/>
              <w:rPr>
                <w:sz w:val="17"/>
                <w:szCs w:val="17"/>
                <w:color w:val="auto"/>
              </w:rPr>
            </w:pPr>
          </w:p>
        </w:tc>
      </w:tr>
      <w:tr>
        <w:trPr>
          <w:trHeight w:val="754"/>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BUZZFEED, INC.</w:t>
            </w:r>
          </w:p>
        </w:tc>
        <w:tc>
          <w:tcPr>
            <w:tcW w:w="62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gridSpan w:val="10"/>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20" w:type="dxa"/>
            <w:vAlign w:val="bottom"/>
          </w:tcPr>
          <w:p>
            <w:pPr>
              <w:spacing w:after="0"/>
              <w:rPr>
                <w:sz w:val="20"/>
                <w:szCs w:val="20"/>
                <w:color w:val="auto"/>
              </w:rPr>
            </w:pPr>
          </w:p>
        </w:tc>
      </w:tr>
      <w:tr>
        <w:trPr>
          <w:trHeight w:val="391"/>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2"/>
              </w:rPr>
            </w:pPr>
            <w:hyperlink w:anchor="page5">
              <w:r>
                <w:rPr>
                  <w:rFonts w:ascii="Times New Roman" w:cs="Times New Roman" w:eastAsia="Times New Roman" w:hAnsi="Times New Roman"/>
                  <w:sz w:val="18"/>
                  <w:szCs w:val="18"/>
                  <w:b w:val="1"/>
                  <w:bCs w:val="1"/>
                  <w:color w:val="0000EE"/>
                  <w:w w:val="92"/>
                </w:rPr>
                <w:t>PART I</w:t>
              </w:r>
            </w:hyperlink>
          </w:p>
        </w:tc>
        <w:tc>
          <w:tcPr>
            <w:tcW w:w="7840" w:type="dxa"/>
            <w:vAlign w:val="bottom"/>
            <w:gridSpan w:val="23"/>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Item 1</w:t>
              </w:r>
            </w:hyperlink>
          </w:p>
        </w:tc>
        <w:tc>
          <w:tcPr>
            <w:tcW w:w="280" w:type="dxa"/>
            <w:vAlign w:val="bottom"/>
            <w:gridSpan w:val="3"/>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7780" w:type="dxa"/>
            <w:vAlign w:val="bottom"/>
            <w:gridSpan w:val="22"/>
          </w:tcPr>
          <w:p>
            <w:pPr>
              <w:spacing w:after="0"/>
              <w:rPr>
                <w:sz w:val="17"/>
                <w:szCs w:val="17"/>
                <w:color w:val="auto"/>
              </w:rPr>
            </w:pPr>
          </w:p>
        </w:tc>
        <w:tc>
          <w:tcPr>
            <w:tcW w:w="62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1A</w:t>
              </w:r>
            </w:hyperlink>
          </w:p>
        </w:tc>
        <w:tc>
          <w:tcPr>
            <w:tcW w:w="140" w:type="dxa"/>
            <w:vAlign w:val="bottom"/>
          </w:tcPr>
          <w:p>
            <w:pPr>
              <w:spacing w:after="0"/>
              <w:rPr>
                <w:sz w:val="17"/>
                <w:szCs w:val="17"/>
                <w:color w:val="auto"/>
              </w:rPr>
            </w:pPr>
          </w:p>
        </w:tc>
        <w:tc>
          <w:tcPr>
            <w:tcW w:w="9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7520" w:type="dxa"/>
            <w:vAlign w:val="bottom"/>
            <w:gridSpan w:val="17"/>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Item 1B</w:t>
              </w:r>
            </w:hyperlink>
          </w:p>
        </w:tc>
        <w:tc>
          <w:tcPr>
            <w:tcW w:w="200" w:type="dxa"/>
            <w:vAlign w:val="bottom"/>
            <w:gridSpan w:val="2"/>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Unresolved Staff Comments</w:t>
              </w:r>
            </w:hyperlink>
          </w:p>
        </w:tc>
        <w:tc>
          <w:tcPr>
            <w:tcW w:w="6380" w:type="dxa"/>
            <w:vAlign w:val="bottom"/>
            <w:gridSpan w:val="12"/>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196"/>
        </w:trPr>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Item 2</w:t>
              </w:r>
            </w:hyperlink>
          </w:p>
        </w:tc>
        <w:tc>
          <w:tcPr>
            <w:tcW w:w="280" w:type="dxa"/>
            <w:vAlign w:val="bottom"/>
            <w:gridSpan w:val="3"/>
          </w:tcPr>
          <w:p>
            <w:pPr>
              <w:spacing w:after="0"/>
              <w:rPr>
                <w:sz w:val="17"/>
                <w:szCs w:val="17"/>
                <w:color w:val="auto"/>
              </w:rPr>
            </w:pPr>
          </w:p>
        </w:tc>
        <w:tc>
          <w:tcPr>
            <w:tcW w:w="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Properties</w:t>
              </w:r>
            </w:hyperlink>
          </w:p>
        </w:tc>
        <w:tc>
          <w:tcPr>
            <w:tcW w:w="7680" w:type="dxa"/>
            <w:vAlign w:val="bottom"/>
            <w:gridSpan w:val="19"/>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196"/>
        </w:trPr>
        <w:tc>
          <w:tcPr>
            <w:tcW w:w="480" w:type="dxa"/>
            <w:vAlign w:val="bottom"/>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Item 3</w:t>
              </w:r>
            </w:hyperlink>
          </w:p>
        </w:tc>
        <w:tc>
          <w:tcPr>
            <w:tcW w:w="280" w:type="dxa"/>
            <w:vAlign w:val="bottom"/>
            <w:gridSpan w:val="3"/>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Item 4</w:t>
              </w:r>
            </w:hyperlink>
          </w:p>
        </w:tc>
        <w:tc>
          <w:tcPr>
            <w:tcW w:w="280" w:type="dxa"/>
            <w:vAlign w:val="bottom"/>
            <w:gridSpan w:val="3"/>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Mine Safety Disclosures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412"/>
        </w:trPr>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Borders>
              <w:top w:val="single" w:sz="8" w:color="0000EE"/>
            </w:tcBorders>
            <w:gridSpan w:val="11"/>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PART II</w:t>
              </w:r>
            </w:hyperlink>
          </w:p>
        </w:tc>
        <w:tc>
          <w:tcPr>
            <w:tcW w:w="666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Item 5</w:t>
              </w:r>
            </w:hyperlink>
          </w:p>
        </w:tc>
        <w:tc>
          <w:tcPr>
            <w:tcW w:w="280" w:type="dxa"/>
            <w:vAlign w:val="bottom"/>
            <w:gridSpan w:val="3"/>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196"/>
        </w:trPr>
        <w:tc>
          <w:tcPr>
            <w:tcW w:w="48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6</w:t>
              </w:r>
            </w:hyperlink>
          </w:p>
        </w:tc>
        <w:tc>
          <w:tcPr>
            <w:tcW w:w="280" w:type="dxa"/>
            <w:vAlign w:val="bottom"/>
            <w:gridSpan w:val="3"/>
          </w:tcPr>
          <w:p>
            <w:pPr>
              <w:spacing w:after="0"/>
              <w:rPr>
                <w:sz w:val="17"/>
                <w:szCs w:val="17"/>
                <w:color w:val="auto"/>
              </w:rPr>
            </w:pPr>
          </w:p>
        </w:tc>
        <w:tc>
          <w:tcPr>
            <w:tcW w:w="80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[Reserved]</w:t>
              </w:r>
            </w:hyperlink>
          </w:p>
        </w:tc>
        <w:tc>
          <w:tcPr>
            <w:tcW w:w="360" w:type="dxa"/>
            <w:vAlign w:val="bottom"/>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7</w:t>
              </w:r>
            </w:hyperlink>
          </w:p>
        </w:tc>
        <w:tc>
          <w:tcPr>
            <w:tcW w:w="280" w:type="dxa"/>
            <w:vAlign w:val="bottom"/>
            <w:gridSpan w:val="3"/>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7A</w:t>
              </w:r>
            </w:hyperlink>
          </w:p>
        </w:tc>
        <w:tc>
          <w:tcPr>
            <w:tcW w:w="140" w:type="dxa"/>
            <w:vAlign w:val="bottom"/>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Quantitative and Qualitative Disclosures About Market Risk</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59</w:t>
            </w:r>
          </w:p>
        </w:tc>
      </w:tr>
      <w:tr>
        <w:trPr>
          <w:trHeight w:val="196"/>
        </w:trPr>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Item 8</w:t>
              </w:r>
            </w:hyperlink>
          </w:p>
        </w:tc>
        <w:tc>
          <w:tcPr>
            <w:tcW w:w="14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080" w:type="dxa"/>
            <w:vAlign w:val="bottom"/>
            <w:gridSpan w:val="7"/>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61</w:t>
            </w:r>
          </w:p>
        </w:tc>
      </w:tr>
      <w:tr>
        <w:trPr>
          <w:trHeight w:val="196"/>
        </w:trPr>
        <w:tc>
          <w:tcPr>
            <w:tcW w:w="480" w:type="dxa"/>
            <w:vAlign w:val="bottom"/>
          </w:tcPr>
          <w:p>
            <w:pPr>
              <w:spacing w:after="0" w:line="196" w:lineRule="exact"/>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Item 9</w:t>
              </w:r>
            </w:hyperlink>
          </w:p>
        </w:tc>
        <w:tc>
          <w:tcPr>
            <w:tcW w:w="280" w:type="dxa"/>
            <w:vAlign w:val="bottom"/>
            <w:gridSpan w:val="3"/>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9A</w:t>
              </w:r>
            </w:hyperlink>
          </w:p>
        </w:tc>
        <w:tc>
          <w:tcPr>
            <w:tcW w:w="140" w:type="dxa"/>
            <w:vAlign w:val="bottom"/>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Controls and Procedures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196"/>
        </w:trPr>
        <w:tc>
          <w:tcPr>
            <w:tcW w:w="5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88"/>
              </w:rPr>
            </w:pPr>
            <w:hyperlink w:anchor="page97">
              <w:r>
                <w:rPr>
                  <w:rFonts w:ascii="Times New Roman" w:cs="Times New Roman" w:eastAsia="Times New Roman" w:hAnsi="Times New Roman"/>
                  <w:sz w:val="18"/>
                  <w:szCs w:val="18"/>
                  <w:color w:val="0000EE"/>
                  <w:w w:val="88"/>
                </w:rPr>
                <w:t>Item 9B</w:t>
              </w:r>
            </w:hyperlink>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Other Information</w:t>
              </w:r>
            </w:hyperlink>
          </w:p>
        </w:tc>
        <w:tc>
          <w:tcPr>
            <w:tcW w:w="6660" w:type="dxa"/>
            <w:vAlign w:val="bottom"/>
            <w:gridSpan w:val="14"/>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560" w:type="dxa"/>
            <w:vAlign w:val="bottom"/>
            <w:gridSpan w:val="2"/>
          </w:tcPr>
          <w:p>
            <w:pPr>
              <w:spacing w:after="0" w:line="196" w:lineRule="exact"/>
              <w:rPr>
                <w:rFonts w:ascii="Times New Roman" w:cs="Times New Roman" w:eastAsia="Times New Roman" w:hAnsi="Times New Roman"/>
                <w:sz w:val="18"/>
                <w:szCs w:val="18"/>
                <w:color w:val="0000EE"/>
                <w:w w:val="88"/>
              </w:rPr>
            </w:pPr>
            <w:hyperlink w:anchor="page97">
              <w:r>
                <w:rPr>
                  <w:rFonts w:ascii="Times New Roman" w:cs="Times New Roman" w:eastAsia="Times New Roman" w:hAnsi="Times New Roman"/>
                  <w:sz w:val="18"/>
                  <w:szCs w:val="18"/>
                  <w:color w:val="0000EE"/>
                  <w:w w:val="88"/>
                </w:rPr>
                <w:t>Item 9C</w:t>
              </w:r>
            </w:hyperlink>
          </w:p>
        </w:tc>
        <w:tc>
          <w:tcPr>
            <w:tcW w:w="200" w:type="dxa"/>
            <w:vAlign w:val="bottom"/>
            <w:gridSpan w:val="2"/>
          </w:tcPr>
          <w:p>
            <w:pPr>
              <w:spacing w:after="0"/>
              <w:rPr>
                <w:sz w:val="17"/>
                <w:szCs w:val="17"/>
                <w:color w:val="auto"/>
              </w:rPr>
            </w:pPr>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Disclosure Regarding Foreign Jurisdictions that Prevent Inspect</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412"/>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b w:val="1"/>
                <w:bCs w:val="1"/>
                <w:color w:val="0000EE"/>
                <w:w w:val="93"/>
              </w:rPr>
            </w:pPr>
            <w:hyperlink w:anchor="page97">
              <w:r>
                <w:rPr>
                  <w:rFonts w:ascii="Times New Roman" w:cs="Times New Roman" w:eastAsia="Times New Roman" w:hAnsi="Times New Roman"/>
                  <w:sz w:val="18"/>
                  <w:szCs w:val="18"/>
                  <w:b w:val="1"/>
                  <w:bCs w:val="1"/>
                  <w:color w:val="0000EE"/>
                  <w:w w:val="93"/>
                </w:rPr>
                <w:t>PART III</w:t>
              </w:r>
            </w:hyperlink>
          </w:p>
        </w:tc>
        <w:tc>
          <w:tcPr>
            <w:tcW w:w="3860" w:type="dxa"/>
            <w:vAlign w:val="bottom"/>
            <w:tcBorders>
              <w:top w:val="single" w:sz="8" w:color="0000EE"/>
            </w:tcBorders>
            <w:gridSpan w:val="14"/>
          </w:tcPr>
          <w:p>
            <w:pPr>
              <w:spacing w:after="0"/>
              <w:rPr>
                <w:sz w:val="24"/>
                <w:szCs w:val="24"/>
                <w:color w:val="auto"/>
              </w:rPr>
            </w:pPr>
          </w:p>
        </w:tc>
        <w:tc>
          <w:tcPr>
            <w:tcW w:w="384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Item 10</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Directors, Executive Officers and Corporate Governance</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w:anchor="page97">
              <w:r>
                <w:rPr>
                  <w:rFonts w:ascii="Times New Roman" w:cs="Times New Roman" w:eastAsia="Times New Roman" w:hAnsi="Times New Roman"/>
                  <w:sz w:val="18"/>
                  <w:szCs w:val="18"/>
                  <w:color w:val="0000EE"/>
                  <w:w w:val="93"/>
                </w:rPr>
                <w:t>Item 11</w:t>
              </w:r>
            </w:hyperlink>
          </w:p>
        </w:tc>
        <w:tc>
          <w:tcPr>
            <w:tcW w:w="200" w:type="dxa"/>
            <w:vAlign w:val="bottom"/>
            <w:gridSpan w:val="2"/>
          </w:tcPr>
          <w:p>
            <w:pPr>
              <w:spacing w:after="0"/>
              <w:rPr>
                <w:sz w:val="17"/>
                <w:szCs w:val="17"/>
                <w:color w:val="auto"/>
              </w:rPr>
            </w:pPr>
          </w:p>
        </w:tc>
        <w:tc>
          <w:tcPr>
            <w:tcW w:w="18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97">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340" w:type="dxa"/>
            <w:vAlign w:val="bottom"/>
            <w:gridSpan w:val="8"/>
          </w:tcPr>
          <w:p>
            <w:pPr>
              <w:spacing w:after="0"/>
              <w:rPr>
                <w:sz w:val="17"/>
                <w:szCs w:val="17"/>
                <w:color w:val="auto"/>
              </w:rPr>
            </w:pPr>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Item 12</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Item 13</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Certain Relationships and Related Transactions and Director Independence</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Item 14</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Principal Accounting Fees and Services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412"/>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top w:val="single" w:sz="8" w:color="0000EE"/>
            </w:tcBorders>
            <w:gridSpan w:val="14"/>
          </w:tcPr>
          <w:p>
            <w:pPr>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PART IV</w:t>
              </w:r>
            </w:hyperlink>
          </w:p>
        </w:tc>
        <w:tc>
          <w:tcPr>
            <w:tcW w:w="556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760" w:type="dxa"/>
            <w:vAlign w:val="bottom"/>
            <w:gridSpan w:val="4"/>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Item 15</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Exhibits and Financial Statement Schedules</w:t>
              </w:r>
            </w:hyperlink>
          </w:p>
        </w:tc>
        <w:tc>
          <w:tcPr>
            <w:tcW w:w="6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7"/>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Item 16</w:t>
              </w:r>
            </w:hyperlink>
          </w:p>
        </w:tc>
        <w:tc>
          <w:tcPr>
            <w:tcW w:w="8420" w:type="dxa"/>
            <w:vAlign w:val="bottom"/>
            <w:gridSpan w:val="25"/>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Form 10-K Summary</w:t>
              </w:r>
            </w:hyperlink>
          </w:p>
        </w:tc>
        <w:tc>
          <w:tcPr>
            <w:tcW w:w="62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01">
              <w:r>
                <w:rPr>
                  <w:rFonts w:ascii="Times New Roman" w:cs="Times New Roman" w:eastAsia="Times New Roman" w:hAnsi="Times New Roman"/>
                  <w:sz w:val="18"/>
                  <w:szCs w:val="18"/>
                  <w:color w:val="0000EE"/>
                  <w:w w:val="97"/>
                </w:rPr>
                <w:t>Signatures</w:t>
              </w:r>
            </w:hyperlink>
          </w:p>
        </w:tc>
        <w:tc>
          <w:tcPr>
            <w:tcW w:w="760" w:type="dxa"/>
            <w:vAlign w:val="bottom"/>
            <w:tcBorders>
              <w:top w:val="single" w:sz="8" w:color="0000EE"/>
            </w:tcBorders>
            <w:gridSpan w:val="3"/>
          </w:tcPr>
          <w:p>
            <w:pPr>
              <w:spacing w:after="0"/>
              <w:rPr>
                <w:sz w:val="17"/>
                <w:szCs w:val="17"/>
                <w:color w:val="auto"/>
              </w:rPr>
            </w:pPr>
          </w:p>
        </w:tc>
        <w:tc>
          <w:tcPr>
            <w:tcW w:w="6880" w:type="dxa"/>
            <w:vAlign w:val="bottom"/>
            <w:gridSpan w:val="15"/>
          </w:tcPr>
          <w:p>
            <w:pPr>
              <w:spacing w:after="0"/>
              <w:rPr>
                <w:sz w:val="17"/>
                <w:szCs w:val="17"/>
                <w:color w:val="auto"/>
              </w:rPr>
            </w:pPr>
          </w:p>
        </w:tc>
        <w:tc>
          <w:tcPr>
            <w:tcW w:w="62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00" w:right="11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Annual Report on Form 10-K may be considered forward-looking statements within the meaning of Section 27A of the Securities Act of 1933, as amended,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19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products and services and changes in traffic;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the digital media industry;</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and local economic and other conditions and developments in technology, each of which could influence the levels (rate and volume) of our subscriptions and advertising, the growth of our business and the implementation of our strategic initiatives;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broadband infrastructure in certain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performance, including expectations with respect to our financial and business performance, including financial projections and business metrics and any underlying assumptions thereunder and future business plans and growth opportunities;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our ability to obtain additional capital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acquisitions, partnerships or other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revised foreign content and ownership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actions we may take in the future in response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Nasdaq;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obligation to update or revise any forward-looking statements, whether as a result of new information, future events or otherwise, except as may be required under applicable securities laws.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convenience, the terms “BuzzFeed,” the “Company,” “we,” “us” or “our” used in this Annual Report on Form 10-K refer to BuzzFeed, Inc. and one or more of our consolidated subsidiaries, unless the context otherwise requires.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 2021 (the “Closing Date”), we consummated the previously announced business combination in connection with (i) that certain Agreement and Plan of Merger, dated June 24, 2021 (as amended, the “Merger Agreement”), by and among 890 5th Avenue Partners, Inc., a Delaware corporation (“890”), Bolt Merger Sub I, Inc., a Delaware corporation and a direct, wholly-owned subsidiary of 890 (“Merger Sub I”), Bolt Merger Sub II, Inc., a Delaware corporation and a direct, wholly-owned subsidiary of 890 (“Merger Sub II”), and BuzzFeed, Inc., a Delaware corporation (“Legacy BuzzFeed”), pursuant to which (a) Merger Sub I merged with and into Legacy BuzzFeed (the “First Merger”), with Legacy BuzzFeed surviving the First Merger as a wholly-owned subsidiary of 890 and (b) immediately following the First Merger, Legacy BuzzFeed merged with and into Merger Sub II (the “Second Merger” and, together with the First Merger, the “Two-Step Merger”), with Merger Sub II surviving the Second Merger as a wholly-owned subsidiary of 890; and (ii) the Membership Interest Purchase Agreement, dated as of March 27, 2021 (as amended, the “C Acquisition Purchase Agreement”), by and among Legacy BuzzFeed, CM Partners, LLC, Complex Media, Inc., Verizon CMP Holdings LLC and HDS II, Inc., pursuant to which the surviving entity acquired 100% of the membership interests of CM Partners, LLC. CM Partners, LLC, together with Complex Media, Inc., is referred to herein as “Complex Networks.” The Two-Step Merger and the other transactions contemplated by the Merger Agreement, including the acquisition by the surviving entity of Complex Networks, are hereinafter referred to as the “Business Combination.” In connection with the consummation of the Business Combination, 890 was renamed “BuzzFeed, Inc.” (hereinafter referred to as “BuzzFeed” or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pop culture, entertainment, shopping, food and news, our brands drive conversation and inspire what audiences watch, read, buy, and obsess over next. With a portfolio of iconic, globally-loved brands that includes BuzzFeed, Tasty, BuzzFeed News, HuffPost, and Complex Networks, the Company reaches more than 100 million viewers monthly. And, across our combined network of brands, we are the number one destination for Gen Z and Millennials amongst our competitive set.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Working across platforms allows us to adapt content from one platform and innovate around new formats to drive engagement on other platforms. This means we can create high-quality content at massive scale and low cost in order to reach our audiences wherever they are — across our owned and operated properties and the major social platforms, including Facebook, Twitter, Instagram, Snapchat, YouTube and TikTok. In 2021, our audiences consumed nearly 800 million hours of content which drove approximately $600 million in attributable transactions. For additional discussion on Time Spent, refer to Part II,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in this Annual Report on Form 10-K.</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digital media landscape has evolved, so has our business model. Our strength has always been to adapt as the world changes.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 As a result, in 2020, we reached an inflection point, achieving profitability.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Above all, 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BuzzFeed is positioned to thrive at the intersection of several large and growing markets. As a free, global, cross-platform media network that was born on the Internet, the shift to “all things digital” presents multiple opportunities for growth in our business. The growth in digital advertising, the demand for high-quality, brand-safe content, the need for advertisers to reach</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audiences at scale amid an evolving data privacy landscape and the acceleration of e-commerce are the primary industry trends driving our market opportunity.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is shifting away from traditional online media, and digital and social video have become core components of ad budgets. Advertisers are looking to BuzzFeed as a trusted partner in creating premium content that resonates with large, young audiences. According to S&amp;P Global Intelligence Global Advertising Forecast as of December 2021, in the U.S. alone, digital advertising represents a $179 billion market, with video and social growing at a 31% compound annual growth rate (between 2017 and 2021). BuzzFeed provides ample supply to meet demand from advertisers in those areas.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same time, reputation, ethics, and quality matter now more than ever. Social platforms can no longer rely on user-generated content and moderation policies, as they are increasingly exposed to liability for allowing toxic and misleading articles, posts, and videos to be posted and shared on their platforms. These platforms need high-quality, brand-safe content, which BuzzFeed is uniquely able to provide at scale. Social platforms are important partners for us, as are the streaming services for which we help drive subscriptions, reduce churn, and market new shows.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Amid the rapidly evolving data privacy landscape, it is becoming increasingly difficult for advertisers to drive returns on the large tech platforms. This reinforces our value proposition. Through our proprietary first-party data, our category-leading brands and our comprehensive suite of ad products, we offer advertisers the tools and contextual alignment needed to effectively and efficiently reach large young audiences without running afoul of emerging data privacy regulations.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continued growth of the multi-trillion-dollar e-commerce market is another significant driver of our business. According to eMarketer research as of May 2021, the percentage of online versus total retail sales in the U.S. jumped from 14% to 15% fueled by the pandemic and lockdown measures (representing an 18% year-on-year increase) and is expected to reach 24% by 2025. We provide opportunities for our audience to navigate the infinite choices of online marketplaces through our editorial content while maintaining editorial independence. This yielded approximately $600 million in directly attributable transactions in 2021. The ability of our content to inspire millions of consumers to transact is what sets us apart.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built and assembled a portfolio of iconic, category-leading brands for Gen Z and Millennial audiences across entertainment, culture, food and news.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Our flagship </w:t>
      </w:r>
      <w:r>
        <w:rPr>
          <w:rFonts w:ascii="Times New Roman" w:cs="Times New Roman" w:eastAsia="Times New Roman" w:hAnsi="Times New Roman"/>
          <w:sz w:val="18"/>
          <w:szCs w:val="18"/>
          <w:i w:val="1"/>
          <w:iCs w:val="1"/>
          <w:color w:val="auto"/>
        </w:rPr>
        <w:t>BuzzFeed</w:t>
      </w:r>
      <w:r>
        <w:rPr>
          <w:rFonts w:ascii="Times New Roman" w:cs="Times New Roman" w:eastAsia="Times New Roman" w:hAnsi="Times New Roman"/>
          <w:sz w:val="18"/>
          <w:szCs w:val="18"/>
          <w:color w:val="auto"/>
        </w:rPr>
        <w:t xml:space="preserve"> brand has become a go-to authority for curating entertainment, pop culture, and the Internet. With articles, lists, quizzes, videos and original series — as well as lifestyle brands like Nifty, Goodful, and As/Is — our audience comes to BuzzFeed to learn what to watch, read, buy and obsess over next.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Our food brand, </w:t>
      </w:r>
      <w:r>
        <w:rPr>
          <w:rFonts w:ascii="Times New Roman" w:cs="Times New Roman" w:eastAsia="Times New Roman" w:hAnsi="Times New Roman"/>
          <w:sz w:val="18"/>
          <w:szCs w:val="18"/>
          <w:i w:val="1"/>
          <w:iCs w:val="1"/>
          <w:color w:val="auto"/>
        </w:rPr>
        <w:t>Tasty</w:t>
      </w:r>
      <w:r>
        <w:rPr>
          <w:rFonts w:ascii="Times New Roman" w:cs="Times New Roman" w:eastAsia="Times New Roman" w:hAnsi="Times New Roman"/>
          <w:sz w:val="18"/>
          <w:szCs w:val="18"/>
          <w:color w:val="auto"/>
        </w:rPr>
        <w:t>, is a leading digital food brand, highlighting the best of BuzzFeed: shareable content that brings people together on a viral scale. In just six years, Tasty has become one of the world’s biggest food networks, pioneering the overhead video format that is now ubiquitous across most major food brands.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HuffPost</w:t>
      </w:r>
      <w:r>
        <w:rPr>
          <w:rFonts w:ascii="Times New Roman" w:cs="Times New Roman" w:eastAsia="Times New Roman" w:hAnsi="Times New Roman"/>
          <w:sz w:val="18"/>
          <w:szCs w:val="18"/>
          <w:color w:val="auto"/>
        </w:rPr>
        <w:t>, acquired in February 2021, is a global, Pulitzer Prize-winning media platform for news, politics,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entertainment, features, and lifestyle content. </w:t>
      </w:r>
      <w:r>
        <w:rPr>
          <w:rFonts w:ascii="Times New Roman" w:cs="Times New Roman" w:eastAsia="Times New Roman" w:hAnsi="Times New Roman"/>
          <w:sz w:val="18"/>
          <w:szCs w:val="18"/>
          <w:i w:val="1"/>
          <w:iCs w:val="1"/>
          <w:color w:val="auto"/>
        </w:rPr>
        <w:t>BuzzFeed News</w:t>
      </w:r>
      <w:r>
        <w:rPr>
          <w:rFonts w:ascii="Times New Roman" w:cs="Times New Roman" w:eastAsia="Times New Roman" w:hAnsi="Times New Roman"/>
          <w:sz w:val="18"/>
          <w:szCs w:val="18"/>
          <w:color w:val="auto"/>
        </w:rPr>
        <w:t>, a Pulitzer Prize-winning newsroom created in 2012, is widely read, particularly among a younger audience. HuffPost and BuzzFeed News together exceed their digital peers in readership across Gen Z and Millennial audiences.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2021, BuzzFeed, Inc. acquired </w:t>
      </w:r>
      <w:r>
        <w:rPr>
          <w:rFonts w:ascii="Times New Roman" w:cs="Times New Roman" w:eastAsia="Times New Roman" w:hAnsi="Times New Roman"/>
          <w:sz w:val="18"/>
          <w:szCs w:val="18"/>
          <w:i w:val="1"/>
          <w:iCs w:val="1"/>
          <w:color w:val="auto"/>
        </w:rPr>
        <w:t>Complex Networks</w:t>
      </w:r>
      <w:r>
        <w:rPr>
          <w:rFonts w:ascii="Times New Roman" w:cs="Times New Roman" w:eastAsia="Times New Roman" w:hAnsi="Times New Roman"/>
          <w:sz w:val="18"/>
          <w:szCs w:val="18"/>
          <w:color w:val="auto"/>
        </w:rPr>
        <w:t>, a global youth entertainment company that drives culture across music, food, style, entertainment, and sports. With brands like First We Feast, Pigeons &amp; Planes, Sole Collector and Complex — as well as live events, led by ComplexCon — Complex Networks has established itself as a leader in time spent among males aged 18 to 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Audience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content reflects the voice of the most diverse generation in history, and creates an “inspiration engine” that helps millions explore new things, try unique experiences, and discover novel products. Across our network of brands we reach more than 100 million monthly viewers, who consumed nearly 800 million hours of content and drove approximately $600 million in attributable transactions in 2021. Our cross-platform distribution network gives us the ability to connect with the Internet generations at a massive scale 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whatever platform they are using to consume content. We attract and retain audiences as a function of our data driven approach to content creation. As audiences engage with our content, we capture insights into their preferences and apply those learnings to new content development. This enables us to attract larger, more engaged audiences and capture deeper, more reliable insights.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 and Data-Driven Content Flywheel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Creating meaningful content requires data, technology, and scale, all of which are key competitive differentiators that BuzzFeed uses to reach our audience wherever they are. Our data-driven approach to content creation is designed to benefit all stakeholders across our ecosystem: audiences, creators, advertisers and social platforms.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began as a lab in New York City, experimenting with content, formats, and distribution on the Internet. Over 15 years, we have established a deep understanding of modern media and developed proprietary technology designed to rapidly scale and monetize digital content. Machine learning and analytics power everything from our scaled tech stack of quiz makers built into CMS to proprietary algorithms and custom tools for content creators and brand advertisers to headline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125730</wp:posOffset>
            </wp:positionV>
            <wp:extent cx="1645920" cy="180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Supported by our highly scalable and repeatable technology platform, our data-driven content flywheel informs our most important decisions, from investment in individual pieces of content to large-scale acquisitions. In tandem, our cross-platform distribution model maximizes audience reach and revenue opportunities. Our content and brands are ubiquitous, platform-agnostic, and designed for modern-day consumption patterns, providing engagement behavior data and learnings across the BuzzFeed network. With this distribution strategy driving scale, efficiency, and adaptability, we capture the interests of our audience, inform our content creators and journalists, help advertisers reach their target audiences, and provide high-quality brand-safe content to the social platforms.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differentiated model for content creation and distribution is designed to serve all stakeholders in our ecosystem.</w:t>
      </w:r>
    </w:p>
    <w:p>
      <w:pPr>
        <w:spacing w:after="0" w:line="225"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proprietary tools and technologies ensure we are serving our audiences compelling, culturally relevant content regardless of platform.</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creators and journalists also benefit greatly, as internal dashboards and metrics provide heightened visibility on audience interaction, allowing them to focus on content and formats that maximize engagement and revenue.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advertisers rely on our audience insights and first-party data tools to optimize their ad campaigns.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approach to content creation also resonates with the large social platforms seeking an alternative to user-generated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Powered by our highly scalable data-driven content flywheel, BuzzFeed has grown into a large scale, global media company that distributes content across owned and operated, as well as third-party, platforms. In recent years we have leveraged our media network to develop a comprehensive suite of digital advertising products and services and extend into complementary business lines such as long-form content development and commerce.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our success in terms of engagement, monetization and operating efficiency using three metrics. The first is audience time spent across owned and operated sites as well as on third-party platforms. The second is revenue generated from advertising, content and commerce. The third key measure of our success is profitability.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 from advertising, content and commerce.</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includes display, programmatic and video advertising on our owned and operated sites and applications,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social media platforms. This revenue source is driven by our industry-leading engagement, an overall shift to digital advertising, and our scaled reach to multiple demographics. We provide significant and differentiated value to advertisers by consistently delivering best-in-class audience engagement, with the most time spent compared to other digital media competitor companies, according to Comscore. Major platforms recognize the value of BuzzFeed’s brand-safe content, award-winning journalism, and the ability to engage large and diverse audiences, making us a critical and trusted partner for advertisers.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paid or sponsored branded, syndicated, and studio content that is sold or licensed to third parties. Our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approach increasingly allows for turn-key, lightweight options that are scalable and repeatable, with strong retention among advertisers. In 2021, we achieved a 91% retention rate of customers who spent greater than $1 million in 2020. Content revenue is driven by continued investment in our content team, a strong data-informed understanding of our audience, demand for trusted, brand-safe digital content and our brand integrity.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Commerce </w:t>
      </w:r>
      <w:r>
        <w:rPr>
          <w:rFonts w:ascii="Times New Roman" w:cs="Times New Roman" w:eastAsia="Times New Roman" w:hAnsi="Times New Roman"/>
          <w:sz w:val="18"/>
          <w:szCs w:val="18"/>
          <w:color w:val="auto"/>
        </w:rPr>
        <w:t>includes affiliate marketplace revenue, IP licensing and an experiential business. In 2021 we drove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$600 million in attributable transactions for our advertisers. Moving forward, we plan to continue to onboard new marketplaces beyond consumer retail, expanding into new shopping categories to drive additional growth. With strong brand recognition and audience trust, BuzzFeed is well positioned to capitalize on the continued shift to online purchases.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Differentiation</w:t>
      </w:r>
    </w:p>
    <w:p>
      <w:pPr>
        <w:spacing w:after="0" w:line="227" w:lineRule="exact"/>
        <w:rPr>
          <w:sz w:val="20"/>
          <w:szCs w:val="20"/>
          <w:color w:val="auto"/>
        </w:rPr>
      </w:pPr>
    </w:p>
    <w:p>
      <w:pPr>
        <w:jc w:val="both"/>
        <w:ind w:left="680" w:right="20" w:hanging="321"/>
        <w:spacing w:after="0" w:line="267"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and Content Flywheel — </w:t>
      </w:r>
      <w:r>
        <w:rPr>
          <w:rFonts w:ascii="Times New Roman" w:cs="Times New Roman" w:eastAsia="Times New Roman" w:hAnsi="Times New Roman"/>
          <w:sz w:val="18"/>
          <w:szCs w:val="18"/>
          <w:color w:val="auto"/>
        </w:rPr>
        <w:t>Our proprietary machine learning and analytics tools and technologies enable us to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optimize content across platforms and capture vital first-party data around audience preferences and valuable cross-platform insights.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Leading Brands and Attractive Audiences at Scale — </w:t>
      </w:r>
      <w:r>
        <w:rPr>
          <w:rFonts w:ascii="Times New Roman" w:cs="Times New Roman" w:eastAsia="Times New Roman" w:hAnsi="Times New Roman"/>
          <w:sz w:val="18"/>
          <w:szCs w:val="18"/>
          <w:color w:val="auto"/>
        </w:rPr>
        <w:t>Our portfolio of iconic brands reaches the Internet generations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unprecedented levels of connectivity and engagement, helping millions explore new things, try new experiences, and discover new products.</w:t>
      </w:r>
    </w:p>
    <w:p>
      <w:pPr>
        <w:spacing w:after="0" w:line="173"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Offering for Advertisers — </w:t>
      </w:r>
      <w:r>
        <w:rPr>
          <w:rFonts w:ascii="Times New Roman" w:cs="Times New Roman" w:eastAsia="Times New Roman" w:hAnsi="Times New Roman"/>
          <w:sz w:val="18"/>
          <w:szCs w:val="18"/>
          <w:color w:val="auto"/>
        </w:rPr>
        <w:t>Our comprehensive suite of advertising products and services position us as a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stop shop for advertisers looking to reach young audiences at scale in a contextual, brand-safe environment.</w:t>
      </w:r>
    </w:p>
    <w:p>
      <w:pPr>
        <w:spacing w:after="0" w:line="158"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Creativity and Innovation — </w:t>
      </w:r>
      <w:r>
        <w:rPr>
          <w:rFonts w:ascii="Times New Roman" w:cs="Times New Roman" w:eastAsia="Times New Roman" w:hAnsi="Times New Roman"/>
          <w:sz w:val="18"/>
          <w:szCs w:val="18"/>
          <w:color w:val="auto"/>
        </w:rPr>
        <w:t>BuzzFeed lives at the intersection of technology and creativity, continually pushing the bounds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inspiration and innovation, attracting, retaining and supporting creators with the data-enhanced tools they need to continue to stay ahead of trends and shape popular culture.</w:t>
      </w:r>
    </w:p>
    <w:p>
      <w:pPr>
        <w:spacing w:after="0" w:line="173"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Team — </w:t>
      </w:r>
      <w:r>
        <w:rPr>
          <w:rFonts w:ascii="Times New Roman" w:cs="Times New Roman" w:eastAsia="Times New Roman" w:hAnsi="Times New Roman"/>
          <w:sz w:val="18"/>
          <w:szCs w:val="18"/>
          <w:color w:val="auto"/>
        </w:rPr>
        <w:t>BuzzFeed is founder-led and future-focused, staying at the forefront of modern media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of Jonah Peretti and a core management team with decades of industry experience.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7" w:lineRule="exact"/>
        <w:rPr>
          <w:sz w:val="20"/>
          <w:szCs w:val="20"/>
          <w:color w:val="auto"/>
        </w:rPr>
      </w:pPr>
    </w:p>
    <w:p>
      <w:pPr>
        <w:jc w:val="both"/>
        <w:ind w:left="680" w:right="20" w:hanging="321"/>
        <w:spacing w:after="0" w:line="267"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grow and engage audiences — </w:t>
      </w:r>
      <w:r>
        <w:rPr>
          <w:rFonts w:ascii="Times New Roman" w:cs="Times New Roman" w:eastAsia="Times New Roman" w:hAnsi="Times New Roman"/>
          <w:sz w:val="18"/>
          <w:szCs w:val="18"/>
          <w:color w:val="auto"/>
        </w:rPr>
        <w:t>We plan to continue to leverage our iconic brands and invest in our 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data-driven content flywheel to deliver engaging content that brands and advertisers trust to reach, grow, and engage audiences, at scale and across platforms.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Empower our content creator teams — </w:t>
      </w:r>
      <w:r>
        <w:rPr>
          <w:rFonts w:ascii="Times New Roman" w:cs="Times New Roman" w:eastAsia="Times New Roman" w:hAnsi="Times New Roman"/>
          <w:sz w:val="18"/>
          <w:szCs w:val="18"/>
          <w:color w:val="auto"/>
        </w:rPr>
        <w:t>We are extremely fortunate to have so many talented journalists, video creators, 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Internet visionaries, whose contributions are critical to our success. BuzzFeed will continue to focus on building the future of creative work by empowering our teams, providing them with next-generation tools, data, and an environment that fosters collaboration, diversity, and innovation to produce best-in-class digital content.</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strategic partnerships — </w:t>
      </w:r>
      <w:r>
        <w:rPr>
          <w:rFonts w:ascii="Times New Roman" w:cs="Times New Roman" w:eastAsia="Times New Roman" w:hAnsi="Times New Roman"/>
          <w:sz w:val="18"/>
          <w:szCs w:val="18"/>
          <w:color w:val="auto"/>
        </w:rPr>
        <w:t>Our diversified and complementary Advertising, Content, and Commerce offerings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our value proposition and strengthened our relationship with our customers. In particular, partners who purchase several of our solutions often increase their average spend with BuzzFeed, which drives longer term relationships and improves customer retention.</w:t>
      </w:r>
    </w:p>
    <w:p>
      <w:pPr>
        <w:spacing w:after="0" w:line="18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significant opportunity to further penetrate our existing customer base with our diverse offerings, as well as to add new customers through our proven ability to reach audiences at scale and drive awareness, inspiration, and transactions.</w:t>
      </w:r>
    </w:p>
    <w:p>
      <w:pPr>
        <w:spacing w:after="0" w:line="15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sustainable, profitable growth — </w:t>
      </w:r>
      <w:r>
        <w:rPr>
          <w:rFonts w:ascii="Times New Roman" w:cs="Times New Roman" w:eastAsia="Times New Roman" w:hAnsi="Times New Roman"/>
          <w:sz w:val="18"/>
          <w:szCs w:val="18"/>
          <w:color w:val="auto"/>
        </w:rPr>
        <w:t>Following several years of discipline and cost management initiatives, our business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benefitting from significant operating leverage. As BuzzFeed’s revenue growth accelerates, we expect our profitability margins to continue to expand as our cost base grows at a slower pace than revenue.</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Platform for inorganic growth — </w:t>
      </w:r>
      <w:r>
        <w:rPr>
          <w:rFonts w:ascii="Times New Roman" w:cs="Times New Roman" w:eastAsia="Times New Roman" w:hAnsi="Times New Roman"/>
          <w:sz w:val="18"/>
          <w:szCs w:val="18"/>
          <w:color w:val="auto"/>
        </w:rPr>
        <w:t>Over time, we believe BuzzFeed, Inc. will play a leading role in consolidating a fragmented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media landscape. With the addition of HuffPost and Complex Networks, we are demonstrating the ability to enhance reach, engagement, and monetization of subscale brands by extending our infrastructure, proprietary technology and content creation capabilities. We will look for strategic opportunities to bring additional subscale brands with loyal, complementary audiences to our portfolio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BuzzFeed operates within the digital media space, a category that we have pioneered and helped develop. We broadly compete against other Internet companies that might attract audiences and advertisers to their platforms and away from BuzzFeed’s. More specifically, with a common core demographic of Millennials and Gen Z, online content providers that target younger generations are natural competitors to BuzzFeed. Historically these have included digital publishers such as Vox Media, which combined with Group Nine Media, and Vice Media Group, among others. We believe that scale, reach, and ultimately engagement serve as the key indicators of competitive positioning, and BuzzFeed outperforms its peers in each respect, with more unique visitors and time spent across target segments of our audience. Furthermore, we believe that our proprietary technology platform, data-driven content flywheel, and rich first party data are structural differentiators that set us apart from the competition.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BuzzFeed both competes with and partners with the large social media platforms, streaming services and traditional publishers.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BuzzFeed’s unique, data-informed, brand-safe content is increasingly valued by ecosystem participants and enables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BuzzFeed to grow alongside the largest consumer Internet and publishing businesses.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BuzzFeed offers a strong value proposition to customers and business partners looking to reach Millennial and Gen Z audiences at scale, in order to generate awareness and drive discovery, inspiration, and ultimately transactions involving their products and services. Customers rely on BuzzFeed’s high-quality, engaging, brand-safe content, our creativity, and our reach across multiple platforms to accomplish these objectives. Our customer base consists of global corporations and companies across a variety of industries including media &amp; entertainment, CPG &amp; retail, financial services, insurance, technology, and many others- utilizing one or more of our offerings in advertising, content, and commerce.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our advertising customers a broad array of offerings including display, programmatic, and video advertising inventory to target users on our owned &amp; operated sites, applications, and social media platforms. Our content customers include third parties seeking to promote, for example, a film release, for which BuzzFeed can create customized promotional content. Our commerce customers are e-commerce operators who partner with us through affiliate programs, or retailers with whom we enter into licensing and merchandising agreements. Customers can achieve the best results when tapping into a combination of BuzzFeed’s offerings, and we see increased retention from those that do so. We maintain a diverse customer base and do not have a significant concentration of revenue around any particular customers, with our top 10 direct customers making up 14% of total revenue for the year ended December 31, 2021. In addition to these top 10 direct customers, we derive a significant portion of our revenue from companies such as Google, Facebook, and Amazon through their various advertising and affiliate exchanges.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Employees</w:t>
      </w:r>
    </w:p>
    <w:p>
      <w:pPr>
        <w:spacing w:after="0" w:line="22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consider the management of our global talent to be essential to the ongoing success of our business. As of December 31, 2021, we had 1,522 employees located across six countries. As of December 31, 2021, approximately 10% of our employees were unionized as a part of NewsGuild, with respect to employees associated with BuzzFeed News, or WGA East, with respect to employees associated with HuffPost. We are focused on supporting our employees across the full employee lifecycle from recruitment to onboarding through ongoing development, and have implemented programs designed to support both career satisfaction and overall wellness.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we have leaned into programs and policies that support flexibility as our employees navigate their personal needs. In February 2022, we announced that we would extend the option to work from home indefinitely when and where possible. We also offer access to a range of wellness services addressing mental health, family support, child care, and other areas.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Culture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BuzzFeed, Inc. we value openness and collaboration, experimentation and growth, and diversity and equality. This is demonstrated through our content, as well as in the way we work together within the company. BuzzFeed, Inc. aspires to provide outstanding people experiences, through its workplace practices, benefits, employee programs, communication, and diversity.</w:t>
      </w:r>
    </w:p>
    <w:p>
      <w:pPr>
        <w:spacing w:after="0" w:line="176" w:lineRule="exact"/>
        <w:rPr>
          <w:sz w:val="20"/>
          <w:szCs w:val="20"/>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having a direct relationship between employees and management where ideas are shared and both work together toward a common purpose.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the principle of equal pay for equal work and having compensation programs that provide for such equality.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treating each other respectfully and employing principles of fairness when concerns/problems arise.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demonstrating diversity of thought, background and experience across all functions and levels.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supporting the wellness of our employees and their dependents, in championing progressive changes where needed and adjusting our policies to address the changing needs of employees.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people should be able to bring their whole self to work, and feel that the workplace is supportive and inclusive.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Inclusion and Belonging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BuzzFeed, we value Diversity, Inclusion &amp; Belonging (DI&amp;B) and strive to weave this value into everything we do. We attract a diverse group of people that reflects the world we are trying to reach through our content and we welcome the unique skills, experiences and backgrounds they bring to the table every day. Since 2014, we have been committed to holding ourselves accountable to this work by publishing our diversity and demographics report annually. As of January 9, 2022, Black, Indigenous and People of Color (BIPOC) employees constituted 38.7% of our U.S.-based employee population. In addition, 58.8% of our global population identifies as female.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continually refine our approach to hiring, training, career development, and education to support our mission of DI&amp;B. Our recruiting team continues to be intentional about our diversity strategy to ensure that BIPOC talent and candidates from other underrepresented groups are actively recruited, and that the company hires and retains talent with diverse perspectives and backgrounds. In the recruitment and hiring process, we also emphasize educating all team members involved about internal and unconscious biases and how to overcome them, and ensuring that all BuzzFeed, Inc. job descriptions and interview processes are inclusive and accessible. BuzzFeed is committed to increasing the representation of BIPOC employees within senior leadership; we’ve redoubled our efforts to both advance and retain current BIPOC employees, and recruit and attract more BIPOC candidates for senior roles.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ensuring our culture allows employees to bring their authentic selves to work every day. We want all employees to feel safe and supported, without threat of microaggressions or bias.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year, we developed and launched key educational opportunities, including Unconscious Bias, Gender 101 and Disability/Ableism 101 trainings, a myriad of Heritage Month educational events and a host of learning opportunities and social events sponsored by BuzzFeed employee resource groups (ERGs) and the DI&amp;B Council.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depend on our iconic brands to build and maintain household name recognition and audience loyalty, and regard our intellectual property as critical to our success. We own numerous domestic and foreign trademarks and other proprietary rights that are important to our business and protect those rights in our brands including, without limitation, </w:t>
      </w:r>
      <w:r>
        <w:rPr>
          <w:rFonts w:ascii="Times New Roman" w:cs="Times New Roman" w:eastAsia="Times New Roman" w:hAnsi="Times New Roman"/>
          <w:sz w:val="18"/>
          <w:szCs w:val="18"/>
          <w:i w:val="1"/>
          <w:iCs w:val="1"/>
          <w:color w:val="auto"/>
        </w:rPr>
        <w:t>BuzzFeed, Tasty, BuzzFeed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HuffPost and Complex Network</w:t>
      </w:r>
      <w:r>
        <w:rPr>
          <w:rFonts w:ascii="Times New Roman" w:cs="Times New Roman" w:eastAsia="Times New Roman" w:hAnsi="Times New Roman"/>
          <w:sz w:val="18"/>
          <w:szCs w:val="18"/>
          <w:color w:val="auto"/>
        </w:rPr>
        <w:t>s. We also maintain rights to the domain names www.buzzfeed.com, www.buzzfeednews.com,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www.tasty.co, www.huffpost.com, and www.complexnetworks.com, among others. We retain the rights to an extensive content library that is monetized through multiple revenue streams. In addition to our brand, domain, and content assets, we have a proprietary technology platform that powers our business. We rely on, and expect to continue to rely on, a combination of work for hire, assignment, license and confidentiality agreements with our employees, consultants and third parties with whom we have relationships, as well as trademark, trade dress, domain name, copyright, trade secret and patent laws, to protect our brands, content, proprietary technology and other intellectual property rights.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we held 205 registered trademarks in the United States, including the BUZZFEED mark, the HUFFPOST mark, and the COMPLEX mark, and also held 527 registered trademarks in foreign jurisdictions. We continually review our development efforts to assess the existence and registrability of new intellectual property. We intend to continue to file additional applications with respect to our intellectual property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many laws and regulations in the United States, Canada, the European Union (the “EU”), the United Kingdom, Japan, Australia, India, and Mexico and throughout the world, including but not limited to those related to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These laws and regulations are constantly evolving and may be interpreted, applied, created, or amended in a manner that could harm or require us to change our current or future business and operations. In addition, it is possible that certain governments may seek to block or limit use or distribution of our products and services or otherwise impose other restrictions that may affect access to or operation of any or all of our products and services for an extended period of time or indefinitely.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federal, state and international laws, policies, and regulations relating to the privacy and security of consumer, customer and employee personal information. These laws often require companies to implement specific information security controls to protect certain types of data (such as personal data, “special categories of personal data” or health data), and/or impose specific requirements relating to the collection or processing of such data.</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the Federal Trade Commission (the “FTC”), the Department of Commerce, and various states continue to call for greater regulation of the collection of personal data, as well as restrictions for certain targeted advertising practices. Section 5(a) of the FTC Act grants the agency enforcement powers to combat and address “unfair or deceptive acts or practices in or affecting commerce,” and the FTC has used this authority extensively to hold businesses to fair and transparent privacy and security standards. Numerous states have also enacted or are proposing legislation to enact state-level data privacy laws and regulations governing the collection, use, and processing of state residents’ personal information. For example, the California Consumer Privacy Act (the “CCPA”) became effective in California in 2020. The CCPA establishes a privacy framework for covered businesses such as ours, creates privacy rights for consumers residing in the state, and requires us to accord our data processing practices and policies. Compliance with the CCPA has caused, and will continue to cause, BuzzFeed to incur compliance related costs and expenses. In November 2020, California voters passed the California Privacy Rights and Enforcement Act of 2020 (the “CPRA”), which further expands the CCPA with additional data privacy compliance requirements and rights of California consumers effective January 1, 2023, and establishes a regulatory agency dedicated to enforcing those requirements. Additionally, in March 2021, the Virginia Consumer Data Protection Act was signed into law, with an effective date of January 1, 2023; and in July 2021, the Colorado Privacy Act was signed into law effective July 1, 2023. Future changes in laws and regulations throughout the United States, at both the federal and state levels, could impact our ability to collect data, exploit the data we do collect, limit the extent to which we can monetize that data, give rise to additional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costs, require us to make substantial investments in technology tools to satisfy new regulatory rules, and expose us to potential non-compliance liability.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Canada, the federal Personal Information Protection and Electronic Documents Act (the “PIPEDA”), sets forth ten principles that are designed to protect the personal information of individuals in Canada, and places obligations on companies that process personal information. PIPEDA applies to organizations that collect, use or disclose personal information in the course of commercial activities, where such activities take place within a Canadian province that does not otherwise have “substantially similar” legislation. Alberta, British Columbia and Québec are the only provinces that have enacted comprehensive private sector privacy statutes that have each been deemed “substantially similar” to PIPEDA. As such, PIPEDA will not apply to commercial organizations operating within Alberta, British Columbia and Québec, although the data protection obligations throughout Canada are substantially the same.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European Union, the General Data Protection Regulation (the “GDPR”) became effective on May 25, 2018. The GDPR is intended to create a single legal framework in relation to the collection, control, processing, sharing, disclosure and other use of data relating to an identifiable living individual that applies across all EU member states. However, the GDPR allows for derogations where EU member states can deviate from the requirements in their own legislation, including for example, introducing measures that apply in specific situations and implementing rules regarding legal basis of processing. It is therefore likely that we will need to comply with these local regulations in addition to the GDPR, where we operate or provide services in those EU member state jurisdictions. Local supervisory authorities are able to impose fines for non-compliance and have the power to carry out audits, require companies to cease or change processing, request information, and obtain access to premises. The GDPR created more stringent operational requirements for processors and controllers of personal data, including, for example, granting new rights for data subjects as well as enhancing existing rights, requiring enhanced disclosures to data subjects about how personal data is processed (including information about the profiling of individuals and automated individual decision-making), records of processing activities, limiting retention periods of personal data, requiring mandatory data breach notification to data protection regulators or supervisory authorities (and in certain cases, to the affected individuals), and requiring additional policies and procedures to comply with the accountability principle under the GDPR.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Kingdom, the UK Data Protection Act 2018 is the United Kingdom’s implementation of the GDPR, which also became effective on May 25, 2018. The United Kingdom left the EU on January 31, 2020 and has since received an adequacy decision from the European Commission, meaning that the UK is deemed to provide an “essentially equivalent” level of data protection to that which exists within the EU. In addition, United Kingdom data protection laws and regulations are undergoing a number of developments including, for example, in relation to data transfers to “third countries,” such as the United States, which slightly differ from transfer mechanisms used under the EU GDPR.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Like the United States, India also does not have country level regulations and authorities to control data transfer and management. The most prominent provisions are contained in the Information Technology Act, 2000, that was amended by the Information Technology Amendment Act, 2008. In particular, Section 43A, which addresses “reasonable security practices and procedures” is complemented by the Information Technology (Reasonable Security Practices and Procedures and Sensitive Personal Data or Information) Rules, 2011 (the “Personal Data Protection Rules”). The Personal Data Protection Rules prescribe directions for the collection, disclosure, transfer and protection of sensitive personal data by a company or any person acting on behalf of a company. Further, the Personal Data Protection Rules require every such company to provide a stipulated privacy policy, which is to be published on its website, for dealing with personal information, including sensitive personal data and ensuring security of all personal data collected by it.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India Supreme Court, in a judgment delivered on August 24, 2017, held that the right to privacy is a fundamental right, following which, the Government of India set up a Committee of Experts to examine issues around, and draft a legislation on, data-protection in India. The committee submitted its final report and a draft Personal Data Protection Bill to the Ministry of Electronics and Information Technology. The draft of the Personal Data Protection Bill, 2019 (the “Data Protection Bill”) has been introduced before the Lok Sabha on December 11, 2019, which is currently being referred to a joint parliamentary committee by the Parliament. The Data Protection Bill proposes a legal framework governing the processing of personal data, where such data has been collected, disclosed, shared or otherwise processed within India, as well as any processing of personal data by the State, Indian companies, Indian citizens or any person or body of persons incorporated or created under India law. The Data Protection Bill defines personal data and sensitive personal data, prescribes rules for collecting, storing and processing of such data and creates rights and obligations of data-subjects and processors. The Data Protection Bill is expected to come into effect in early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subject to laws, rules, and regulations regarding cross-border transfers of personal data, including laws relating to the transfer of personal data outside the EEA and the United Kingdom. Recent legal developments in the EEA and the United Kingdom have created complexity and uncertainty regarding transfers of personal information from the EEA and the United Kingdom to “third countries,” especially the United States. For example, the Court of Justice of the European Union (the “CJEU”) invalidated the EU-U.S. Privacy Shield Framework (a mechanism for the transfer of personal information from the EEA to the United States) in 2020. The CJEU also made clear that reliance on standard contractual clauses (another mechanism for the transfer of personal data outside the EEA) alone may not be sufficient in all circumstances. We currently rely on standard contractual clauses and these changes are therefore causing us to review our current compliance approach. Changes to our compliance scheme may be deemed necessary to meet the requirements of the EEA, UK, and CJEU may result in additional costs or the inability to transfer personal data outside of the EEA and/or the United Kingdom.</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 and United Kingdom privacy laws on cookies and e-marketing. In the EU and the United Kingdom,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Informed consent is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In addition, the current national laws that implement the e-Privacy Directive are highly likely to be replaced by an EU regulation known as the e-Privacy Regulation which will significantly increase fines for non-compliance. The text of the e-Privacy Regulation is still under development, and recent EU regulatory guidance and court decisions have created uncertainty about the level to which such laws and regulations will be enforced, which may require us to review our compliance approach and increase compliance costs.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Similarly, other jurisdictions are instituting privacy and data security laws, rules, and regulations, or may do so in the future, which could increase our risk and compliance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some seasonal influences. Historically, our revenue is typically highest in the fourth quarter of the year due to strong advertising spend and consumer spending during this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electronically with the SEC our Annual Report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investor relations website at https://investors.buzzfeed.com, free of charge, copies of these reports and other information as soon as reasonably practicable after we electronically file such material with, or furnish it to, the SEC.</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have identified the following risks and uncertainties that may have a material adverse effect on our business, financial condition, results of operations or reputation.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other information contained in this Annual Report on Form 10-K, including “Management’s Discussion and Analysis of Financial Condition and Results of Operations” and our consolidated financial statements and related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of the risks we are exposed to in the normal course of our business activities. This summary is not complete and the risks summarized below are not the only risks we face. You should carefully consider these risks and uncertainties described in more detail below as well as the discussion below of other risks related to our business and an investment in our common stock and warrants.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jc w:val="both"/>
        <w:ind w:left="660" w:hanging="328"/>
        <w:spacing w:after="0" w:line="267"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derive a significant portion of our traffic from third-party platforms. Changes to the standard terms, conditions and policies of these third-party platform providers, such as Apple News, Facebook, Google, Hulu, Instagram, Pinterest, Snap, TikTok, Twitter, Twitch and YouTube, could adversely affect our business.</w:t>
      </w:r>
    </w:p>
    <w:p>
      <w:pPr>
        <w:spacing w:after="0" w:line="173"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derive a significant portion of our revenue from advertising products and our relationships with advertising partners.</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compete effectively with our competitors for traffic and advertising spend, our business and operating results could be harmed.</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levels of our traffic and engagement with our brands and content are critical to our success.</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our existing content and services could fail to attract traffic and advertisers or fail to generate revenue.</w:t>
      </w:r>
    </w:p>
    <w:p>
      <w:pPr>
        <w:spacing w:after="0" w:line="225"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market for digital advertising for brands is evolving. If this market develops more slowly or differently than we expect, our business, growth prospects and financial condition could be adversely affected.</w:t>
      </w:r>
    </w:p>
    <w:p>
      <w:pPr>
        <w:spacing w:after="0" w:line="158"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incurred significant operating losses in the past, and we may not be able to sustain our recent levels of revenue and generate sufficient revenue to achieve or maintain profitability.</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quarterly financial results have fluctuated in the past and will fluctuate in the future.</w:t>
      </w:r>
    </w:p>
    <w:p>
      <w:pPr>
        <w:spacing w:after="0" w:line="225"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loss of key personnel, or our failure to attract and retain other highly qualified personnel in the future, could harm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7" w:lineRule="exact"/>
        <w:rPr>
          <w:sz w:val="20"/>
          <w:szCs w:val="20"/>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warrants are accounted for as liabilities and the changes in value of our warrants could have a material effect on our financial results.</w:t>
      </w:r>
    </w:p>
    <w:p>
      <w:pPr>
        <w:spacing w:after="0" w:line="158"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 that are accounted for as a warrant liability will be recorded at fair value upon issuance with changes in fair value each period reported in earnings, which may have an adverse effect on the market price of our common stock.</w:t>
      </w:r>
    </w:p>
    <w:p>
      <w:pPr>
        <w:spacing w:after="0" w:line="158"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Prior to the Business Combination, Legacy BuzzFeed identified material weaknesses in its internal control over financial reporting which, if not corrected, could affect the reliability of our consolidated financial statements and have other adverse consequences. We may also have to address any unremediated material weakness in internal control over financial reporting as the accounting acquirer in the Business Combination.</w:t>
      </w:r>
    </w:p>
    <w:p>
      <w:pPr>
        <w:spacing w:after="0" w:line="17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Restrictions imposed by our debt facilities could adversely affect our operating flexibility.</w:t>
      </w:r>
    </w:p>
    <w:p>
      <w:pPr>
        <w:spacing w:after="0" w:line="22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convertible notes may impact our financial results, result in the dilution of our stockholders, create downward pressure on the price of our Class A common stock, and restrict our ability to raise additional capital or take advantage of future opportunities.</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still incur substantially more debt or take other actions that would diminish our ability to make payments on the Notes when due.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7" w:lineRule="exact"/>
        <w:rPr>
          <w:sz w:val="20"/>
          <w:szCs w:val="20"/>
          <w:color w:val="auto"/>
        </w:rPr>
      </w:pPr>
    </w:p>
    <w:p>
      <w:pPr>
        <w:ind w:left="660" w:right="20" w:hanging="328"/>
        <w:spacing w:after="0" w:line="28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is subject to complex and evolving U.S. and foreign laws and regulations. These laws and regulations are subject to change and uncertain interpretation, and could result in claims, changes to our business practices, monetary penalties,</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temporary or permanent restraining orders and injunctions, increased cost of operations or declines in traffic growth and engagement with our brands and content, or otherwise harm our business.</w:t>
      </w:r>
    </w:p>
    <w:p>
      <w:pPr>
        <w:spacing w:after="0" w:line="158" w:lineRule="exact"/>
        <w:rPr>
          <w:sz w:val="20"/>
          <w:szCs w:val="20"/>
          <w:color w:val="auto"/>
        </w:rPr>
      </w:pPr>
    </w:p>
    <w:p>
      <w:pPr>
        <w:ind w:left="660" w:right="2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comply with laws and regulations with respect to privacy, data protection and consumer marketing practices, could adversely affect our business.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intellectual property rights are valuable, and any inability to protect them could reduce the value of our content, services and brand.</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become party to intellectual property rights claims that are expensive and time consuming to defend, and, if resolved adversely, could have a significant impact on our business, financial condition or operating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7" w:lineRule="exact"/>
        <w:rPr>
          <w:sz w:val="20"/>
          <w:szCs w:val="20"/>
          <w:color w:val="auto"/>
        </w:rPr>
      </w:pPr>
    </w:p>
    <w:p>
      <w:pPr>
        <w:ind w:left="660" w:right="20" w:hanging="328"/>
        <w:spacing w:after="0" w:line="28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issue additional shares of common stock (including upon the exercise of warrants) which would increase the number of shares eligible for future resale in the public market and result in dilution to our stockholders.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redeem unexpired warrants prior to their exercise at a time that is disadvantageous to the holder, thereby making the warrants worthless.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can be no assurance that the warrants will be in the money at the time they become exercisable, and they may expire worthless.</w:t>
      </w:r>
    </w:p>
    <w:p>
      <w:pPr>
        <w:spacing w:after="0" w:line="158"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multi-class structure of our common stock, as well as the voting agreements entered into in connection with the Business Combination, have the effect of concentrating voting power with our Chief Executive Officer, which will limit other stockholders’ ability to influence the outcome of important transactions, including a change in control.</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market price of our securities may be volatile, which may increase the risk of securities-related litigation, or cause the loss of part or all of holders’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traffic from third-party platforms. Changes to the standard terms, conditions and policies of these third-party platform providers that have distributed or may distribute our content, such as Apple News, Facebook, Google, Hulu, Instagram, Pinterest, Snap, TikTok, Twitter, Twitch and YouTube, could adversely affect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depend on third-party platform providers to provide access to our content. A majority of our traffic engages with our content through third-party platform providers rather than directly on our websites and applications, most prominently, Apple News, Facebook, Google, Hulu, Instagram, Pinterest, Snap, TikTok, Twitter, Twitch and YouTube. These platforms serve as significant channels of online distribution and are critical to accessing our content. Our users have historically spent more time engaging with our content on third-party platforms (including Apple News, YouTube and Facebook) than on our owned and operated U.S. properties. See Part II, Item 7. “Management’s Discussion and Analysis of Financial Condition and Results of Operations” for the definition of Time Spent and for a breakdown of the percentage of Time Spent on our owned and operated sites versus third-party platforms. If these platform providers deny access to our content, modify their current discovery mechanisms or algorithms, develop their own competitive offerings, or impose fees for access to and use of their platforms, our business could be negatively impacted. We are also subject to the standard terms, conditions and practices of these platform providers, which govern the promotion, distribution, operation and use of our content. Platform providers have broad discretion to change their standard terms and conditions and have the right to prohibit us from distributing content on their platforms if we violate those standard terms and conditions. In addition, platform providers can change their policies or interpretations of their standard terms and conditions.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content on their platforms. Moreover, if we are unable to maintain a good relationship with these platform providers, our business and operating results could be adversely affected.</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could also be harmed if these platforms change their terms and conditions relating to how their users share information on or through their platforms or across other platforms, which could impact our traffic and engagement.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our content available across a variety of operating systems and through websites. We are dependent on the compatibility of our content with popular devices, streaming tools, desktop and mobile operating systems and web browsers that we do not control, such as Mac OS, Windows, Android, iOS, Chrome and Firefox. Any changes in such systems, devices or web browsers that degrade the functionality of our content or give preferential treatment to competitive content could adversely affect usage of our content.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majority of our traffic accesses our content and services through mobile devices and, as a result, our ability to grow advertising revenue is increasingly dependent on our ability to generate revenue from content viewed and engaged with on mobile devices. A key element of our strategy is focusing on mobile devices and we expect to continue to devote significant resources to the creation and support of developing new and innovative mobile products, services and apps. We are dependent on the interoperability of our content and our apps with popular mobile operating systems, streaming tools, networks and standards that we do not control, such as the Android and iOS operating systems. Our mobile apps are downloaded from third-party app stores, such as the Apple App Store and Google Play. We may not be successful in maintaining or developing relationships with key participants in the mobile industry or in developing content or apps that operate effectively with these technologies, systems, tools, networks, or standards. Any changes in such systems, or changes in our relationships with mobile operating system partners, handset manufacturers, or mobile carriers, or in their terms of service or policies that reduce or eliminate our ability to distribute our content or apps, impair access to our content by blocking access through mobile devices, make it hard to readily discover, install, update or access our content and apps on mobile devices, give preferential treatment to competitive, or their own, content or apps, limit our ability to measure the effectiveness of branded content, or charge fees related to the distribution of our content or apps could adversely affect the consumption and monetization of our content on mobile devices. Additionally, if the number of platforms for which we develop our product expands, it will result in an increase in our operating expenses. In the event that it is more difficult to access our content or use our apps and services, particularly on mobile devices, or if our traffic chooses not to access our content or use our apps on their mobile devices or choose to use mobile products that do not offer access to our content or our apps, or if the preferences of our traffic requires us to increase the number of platforms on which our product is made available to our traffic, our traffic growth, engagement, ad targeting and monetization could be harmed and our business and operating results could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advertising products and our relationships with advertising partners.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 is currently generated from third-party advertising. As is common in the industry, our advertisers do not have long-term advertising commitments with us. Many of our advertisers spend only a relatively small portion of their overall advertising budget with us. In addition, many of our advertisers purchase our advertising services through one of several large advertising agency holding companies. Advertisers will not continue to do business with us, or they will reduce the prices they are willing to pay to advertise with us, if we do not deliver ads in an effective manner, or if they do not believe that their investment in advertising with us will generate a competitive return relative to alternatives.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we need to maintain good relationships with advertisers to provide us with a sufficient inventory of advertisements and offers. Online advertising is an intensely competitive industry. Many large companies, such as Amazon, Facebook and Google, invest significantly in data analytics to make their websites and platforms more attractive to advertisers. In order for our advertising business to continue to succeed, we need to continue to demonstrate the reach of our traffic and the benefit to our advertising partners. Our advertising revenue could be adversely affected by a number of other factors, including:</w:t>
      </w:r>
    </w:p>
    <w:p>
      <w:pPr>
        <w:spacing w:after="0" w:line="183"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traffic and engagement;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the value of our content to advertisers and advertising agencies or inability to measure the value of our content in a manner which advertisers and advertising agencies find useful;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increase advertiser demand and/or inventory;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help advertisers effectively target ads;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improve our analytics and measurement solutions that demonstrate the value of our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technologies that could block or obscure the display of or targeting of our content;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cost per ad engagement;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advertising market share to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enter into revenue sharing arrangements or other partnerships with third parties;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developments relating to advertising or measurement tools related to the effectiveness of advertising, including legislative and regulatory developments impacting branded content, labeling of advertising, privacy and consent requirements related to sharing of personal information and/or litigation related to any of the foregoing;</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 or the digital media industry as a whole;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our ad products are priced;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debts related to trade credit extended to certain advertisers;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certain pre-paid branded advertising orders;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conditions in the advertising industry in general.</w:t>
      </w:r>
    </w:p>
    <w:p>
      <w:pPr>
        <w:spacing w:after="0" w:line="22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with our competitors for traffic and advertising spend, our business and operating results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Competition for traffic and engagement with our content, products and services is intense. We compete against many companies to attract and engage traffic, including companies that have greater financial resources and potentially larger user bases, and companies that offer a variety of Internet and mobile device-based content, products and services. As a result, our competitors may acquire and engage traffic at the expense of the growth or engagement of our traffic, which would negatively affect our business. We believe that our ability to compete effectively for traffic depends upon many factors both within and beyond our control, including:</w:t>
      </w:r>
    </w:p>
    <w:p>
      <w:pPr>
        <w:spacing w:after="0" w:line="183"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and reliability of our content compared to that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our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expansion and adoption of our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develop new content and enhancements to existing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attract, develop and retain influencers and creative talent;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relative prominence and appeal of the advertising displayed by us or our competitors;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or that we elect to make to address, legislation, regulatory constraints or litigation, including settlements and consent decrees, some of which may have a disproportionate impact on us;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procuring new content, relative to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our competitors.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face significant competition for advertiser spend. We compete against online and mobile businesses and traditional media outlets, such as television, radio and print, for advertising budgets. In determining whether to buy advertising, our advertisers will consider the demand for our content, demographics of our traffic, advertising rates, results observed by advertisers, and alternative advertising options. The increasing number of digital media options available, through social networking tools and news aggregation websites, has expanded consumer choice significantly, resulting in traffic fragmentation and increased competition for advertising. In addition, some of our larger competitors have substantially broader content, product or service offerings and leverage their relationships based on other products or services to gain additional share of advertising budgets. We will need to continue to innovate and improve the monetization capabilities of our websites and our mobile products in order to remain competitive. We believe that our ability to compete effectively for advertiser spend depends upon many factors both within and beyond our control, including:</w:t>
      </w:r>
    </w:p>
    <w:p>
      <w:pPr>
        <w:spacing w:after="0" w:line="188"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user base relative to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 targeting capabilities, and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adapt our model to the increasing power and significance of influencers to the advertising community;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our advertising content and advertising products, and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and selling efforts, and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for our advertising products and services relative to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our advertisers receive from our advertising products and services, and those of our competitors;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the strength of our brand relative to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levels of our traffic and engagement with our brands and content are critical to our success.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fail to increase our traffic, or if traffic engagement or ad engagement declines, our revenue, business and operating results may be harmed. Our financial performance has been and will continue to be significantly determined by our success in increasing traffic and the overall level of engagement with our content as well as increasing the number and quality of ad engagements. We anticipate that our traffic growth rate will slow over time as the level of our traffic increases. To the extent our traffic growth rate slows, our success will become increasingly dependent on our ability to increase levels of ad engagement on our platforms. If people do not perceive our content to be useful, reliable and entertaining, we may not be able to attract traffic or increase the frequency of engagement on our websites and applications and with the ads that we display. There is no guarantee that we will not experience a similar erosion of our engagement levels as our traffic growth rate slows.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maintaining and enhancing our brands is an important aspect of our efforts to attract and expand our traffic. Much of our new traffic is referred by our existing traffic. Maintaining and enhancing our brands will depend largely on our ability to continue to provide high-quality, entertaining, useful, reliable, relevant and innovative content, which we may not do successfully. We may introduce new content, products or terms of service or policies that our traffic or advertisers do not like, which may negatively affect our brand. We will also continue to experience media, legislative, and regulatory scrutiny of our content, which may adversely affect our reputation and brands. Maintaining and enhancing our brands may require us to make substantial investments and these investments may not be successful. A number of additional factors could potentially negatively affect our traffic growth and engagement, including if:</w:t>
      </w:r>
    </w:p>
    <w:p>
      <w:pPr>
        <w:spacing w:after="0" w:line="18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engages with other platforms or content as an alternative to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potential new traffic of the value, usefulness and relevance of our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decrease in the perceived quality of our content;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and improved content or services or if we introduce new or improved content or services that are not favorably received or that negatively affect levels of traffic and engagement;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traffic believes that their experience is diminished as a result of the decisions we make with respect to the frequency, relevance and prominence of ads that we display;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in the third-party platforms on which we rely to deliver a majority of our traffic;</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prevent us from delivering our content or services in a rapid and reliable manner or otherwise affect the experience of our traffic;</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service outages, data protection and security issues;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trademarks are exploited by others without permission;</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adverse changes in our content or services that are mandated by, or that we elect to make to address, legislation, regulatory constraints or litigation, including settlements or consent decrees;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maintain our brand image or our reputation is damaged.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we receive a high degree of media coverage around the world. Negative publicity about our company, including about our content quality and reliability, changes to our content and services, privacy and security practices, labor relations, litigation, regulatory activity, and traffic experience with our content and services, even if inaccurate, could adversely affect our reputation and the confidence in and the use of our content and services. Such negative publicity could also have an adverse effect on the size, engagement and loyalty of our traffic and could result in decreased revenue, which would adversely affect our business and operating results. If we are unable to increase our traffic or engagement, or if they decline, this could result in our content or services being less attractive to potential new traffic, as well as advertisers, which would have a material adverse impact on our business, financial condition and operating results. Additionally, if we fail to successfully promote and maintain our brands or if we incur excessive expenses in this effort, our business and financial results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existing content and services could fail to attract traffic and advertisers or fail to generate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introduce significant changes to our existing content. The success of our new content depends substantially on consumer tastes and preferences that change in often unpredictable ways. If this new content fails to engage traffic and advertisers, we may fail to generate sufficient revenue or operating profit to justify our investments, and our business and operating results could be adversely affected. In addition, we have launched and expect to continue to launch strategic initiatives, which do not directly generate revenue but which we believe will enhance our attractiveness to traffic and advertisers. In the future, we may invest in new content, products, services and initiatives to generate revenue, but there is no guarantee these approaches will be successful or that the costs associated with these efforts will not exceed the revenue generated. If our strategic initiatives do not enhance our ability to monetize our existing content or enable us to develop new approaches to monetization, we may not be able to maintain or grow our revenue or recover any associated development costs and our operating results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digital advertising for brands is evolving. If this market develops more slowly or differently than we expect, our business, growth prospects and financial condition could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expected growth is tied to an assumption that digital advertising spend will continue to rise. The market for digital advertising is still emerging and advertisers generally devote a smaller portion of their advertising budgets to digital advertising than to traditional advertising methods, such as television, newspapers, magazines and radio. Our current and potential advertisers may find digital advertising to be less effective than other advertising methods, and they may reduce their spending on digital advertising as a result. The future growth of our business could be constrained by both the level of acceptance and expansion of digital advertising as a format and emerging digital advertising channels, including mobile and social, as well as the continued use and growth of existing channels.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Technology in the media industry continues to evolve rapidly. Advances in technology have led to an increased number of methods for the delivery and consumption of news and other content. These developments are also driving changes in the preferences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expectations of consumers as they seek more control over how they consume content. Changes in technology and consumer behavior pose a number of challenges that could adversely affect our revenues and competitive position. For example, among others:</w:t>
      </w:r>
    </w:p>
    <w:p>
      <w:pPr>
        <w:spacing w:after="0" w:line="162" w:lineRule="exact"/>
        <w:rPr>
          <w:sz w:val="20"/>
          <w:szCs w:val="20"/>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develop new online or digital content and services that consumers find engaging, that work with a variety of operating systems and networks and that achieve a high level of market acceptance;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introduce new content or services, or make changes to existing content and services, that are not favorably received by consumers;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sentiment of our traffic about the quality, usefulness or relevance of our existing content or concerns related to privacy, security or other factors;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manage changes implemented by social media platforms, search engines, news aggregators or mobile app stores and device manufacturers, including those affecting how our content and applications are prioritized, displayed and monetized, could affect our business;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may increasingly use technology (such as incognito browsing) that decreases our ability to obtain a complete view of the behavior of traffic that engages with our content;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or update our technology infrastructure in a way that meets market and consumer demands; and</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 of our content on third-party platforms may lead to limitations on monetization of our content, the loss of control over distribution of our content and of a direct relationship with our audience, and lower audience engagement and subscription rates.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invest significant resources to mitigate these potential risks and to create content, and build, maintain and evolve our technology infrastructure. These investments may adversely impact our operating results in the near term and there can be no assurance as to our ability to use new and existing technologies to distinguish our content and services from those of our competitors and develop in a timely manner compelling new content and services that engage traffic across platforms. If the market for digital advertising deteriorates, develops more slowly than we expect or the shift from traditional advertising methods to digital advertising does not continue, or there is a reduction in demand for digital advertising caused by weakening economic conditions, decreases in corporate spending, perception that digital advertising is less effective than other media or otherwise, it could reduce demand for our offerings, which could decrease revenue or otherwise adversely affect our business. Further, if we are not successful in responding to changes in technology and consumer behavior, our business, financial condition and prospects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we may not be able to sustain our recent levels of revenue and generate sufficient revenue to achieve or maintain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in the past and, though our revenue has increased substantially over the years, our growth has been uneven and at times revenue growth has been stagnant. We may not be able to sustain levels of revenue or revenue growth consistent with the past, or at all. We expect that our revenue growth rate will decline in the future as a result of a variety of factors, including the maturation of our business. You should not rely on the levels of revenue or revenue growth of any prior quarterly or annual period as an indication of our future performance. We also expect our costs to increase in future periods as we continue to expend substantial financial resources on, among other things:</w:t>
      </w:r>
    </w:p>
    <w:p>
      <w:pPr>
        <w:spacing w:after="0" w:line="187"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and marketing;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creation, and service development and enhancement;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and accounting expenses.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investments may not result in increased revenue or growth in our business. If we are unable to maintain adequate levels of revenue or revenue growth, and to manage our expenses, we may continue to incur significant losses in the future and may not be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able to maintain profitability. We have encountered in the past, and will encounter in the future, risks, challenges, and uncertainties frequently experienced by growing companies in rapidly changing industries. If our assumptions regarding these risks, challenges, and uncertainties, which we use to plan and operate our business, are incorrect or change, or if we do not address these risks successfully, our financial condition and operating results could differ materially from our expectations, our growth rates may slow, and our business could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financial results have fluctuated in the past and will fluctuate in the future.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with the current scale of our business, which makes it difficult to forecast our future results. Our past quarterly financial results cannot be relied upon as indicators of future performance. We are subject to the same risks and uncertainties frequently encountered by companies in rapidly evolving markets. Our financial results in any given quarter may be influenced by numerous factors, many of which we are unable to predict or are outside of our control, including:</w:t>
      </w:r>
    </w:p>
    <w:p>
      <w:pPr>
        <w:spacing w:after="0" w:line="180"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traffic and engagement;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made to the social media and other platforms that are important channels of distribution for our content, or changes in the patterns of use of those channels by users;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in a particular period;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revenue—for example, our revenue is typically highest in the fourth quarter of the year due to strong advertising spending and consumer spending during this quarter;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ads shown to our traffic;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advertising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revenue sources beyond current advertising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content, products or services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or our failure to attract and retain other highly qualified personnel in the future, could harm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depend upon the continued services and performance of our key personnel, most importantly our founder, Chief Executive Officer and Chairman of the Board, Jonah Peretti. We have not entered into any employment agreement or non-competition agreement with Mr. Peretti and his employment with us is at-will.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most of our content is custom-made for our business by our personnel. The loss of key personnel, including members of management, as well as key engineering, video, editorial, and sales personnel, could disrupt our operations and have an adverse effect on our business. As we continue to grow, we cannot guarantee we will continue to attract the personnel we need to maintain our competitive position. For example, as a public company, we will need to attract and retain personnel to perform additional functions characteristic of a public company. As we mature, the incentives to attract, retain, and motivate employees provided by our equity awards or by future arrangements may not be as effective as in the past. If we do not succeed in effectively attracting, hiring and integrating new talented personnel, or retaining and motivating existing personnel, our employee morale, productivity and retention could suffer, and our business and operating results could be adversely affected. In addition, from time to time, there may be changes in our senior management team that may be disruptive to our business. If our senior management team, including any new hires that we may make, fails to work together effectively and to execute our plans and strategies on a timely basis, our business could be harmed.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our sites and applications may be perceived as not being secure, traffic and advertisers may curtail or stop viewing our content or using our services, and our business and operating results could be harmed.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involve the storage and transmission of certain of our traffic’s and advertisers’ personal and proprietary information on our equipment, networks and corporate systems. In addition, we rely on the technology and systems provided by third-party vendors (including cloud-based service providers) for a variety of operations, including encryption and authentication technology, employee email, domain name registration, content delivery to customers, administrative functions (including payroll processing and certain finance and accounting functions) and other operations. Security breaches expose us to a risk of loss of this information, litigation, remediation costs, increased costs for security measures, ransomware, loss of revenue, damage to our reputation, and potential liability. Any systems failure or compromise of our security that results in the unauthorized access to or release of our traffic’s or advertisers’ data, could significantly limit our content delivery and traffic engagement, as well as harm our reputation and brands and, therefore, our business. Our security measures may also be breached due to employee error, malfeasance or otherwise. In addition, hardware, software or applications we procure from third parties may contain defects in design or manufacture or other problems that could unexpectedly compromise network and data security. Additionally, outside parties may attempt to fraudulently induce our employees, traffic or advertisers to disclose sensitive information in order to gain access to our data or our traffic’s or advertisers’ data or accounts, or may otherwise obtain access to such data or accounts. Further, our systems, and those of third parties upon which our business relies, may be vulnerable to interruption or damage that can result from natural disasters or the effects of climate change (such as increased storm severity and flooding), fires, power or Internet outages, acts of terrorism or other similar events.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Information security threats are constantly evolving, increasing the difficulty of detecting and successfully defending against them. To date, no incidents have had, either individually or in the aggregate, a material adverse effect on our business, financial condition or results of operations. However,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 perceived breach of our security occurs or an actual breach of our security that results in degraded website or app performance, unauthorized access, availability problems, or the loss or unauthorized disclosure of confidential information occurs, the market perception of the effectiveness of our security measures could be harmed, our traffic and advertisers may lose trust and confidence in us or decrease the use of our website, app and services or stop using our services in their entirety; and we may incur significant legal and financial exposure, including legal claims, higher transaction fees and regulatory fines and penalties. Despite our implementation of network security measures, our servers are vulnerable to computer viruses, malware, worms, hacking, physical and electronic break-ins, router disruption, sabotage or espionage, and other disruptions from unauthorized access and tampering, as well as coordinated denial-of-service attacks. We may not be in a position to promptly address attacks or to implement adequate preventative measures if we are unable to immediately detect such attacks. Such events could result in large expenditures to investigate or remediate, to recover data, to repair or replace networks or information systems, including changes to security measures, to deploy additional personnel, to defend litigation or to protect against similar future events, and may cause damage to our reputation or loss of revenue. Any of these actions could have a material adverse effect on our business, reputation and operating results.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by a disruption in our service, or by our failure to timely and effectively scale and adapt our existing technology and infrastructure.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Service delays, outages or disruptions, or the loss or compromise of data, could result from a variety of causes, including infrastructure changes, human or software errors, hardware failure, capacity constraints due to an overwhelming number of people accessing our products and services simultaneously, computer viruses, denial of service, fraud or security attacks. In addition, our operations are susceptible to outages and interruptions due to fire, flood, earthquake, tsunami, other natural disasters, power loss, equipment or telecommunications failures, cyber attacks, terrorist attacks, political or social unrest, and other events over which we have little or no control. We do not have multiple site capacity for all of our services and some of our systems are not fully redundant in the event of delays or disruptions to service, so some data or systems may not be fully recoverable after such events.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rely on third-party providers over which we have little or no control for our principal Internet connections and co-location of a significant portion of our data servers. Any disruption of the services they provide us or any failure of these third-party providers to handle higher volumes of use could, in turn, cause delays or disruptions in our services and loss of revenue. Accordingly, in the event of a significant issue at the data center supporting most of our network traffic, some of our content and services may become inaccessible to the public or the public may experience difficulties accessing our content and services. Any disruption or failure in our infrastructure, whether resulting from our actions or omissions, or those of third-party providers, could hinder our ability to handle existing or increased traffic on our platform, which could significantly harm our business. As the level of our traffic increases, we may be required to expand and adapt our technology and infrastructure to continue to reliably store, serve and analyze our content. It may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become increasingly difficult to maintain and improve the performance of our services, especially during peak usage times, as our services become more complex and our user traffic increases. The systems through which we provide our services are highly technical, complex, and interdependent. Design errors might exist in these systems, or might be introduced when we make modifications, which might cause service malfunctions or require services to be taken offline while corrective responses are developed. If our traffic is unable to access our platform or our content on third-party platforms, or we are not able to make content available rapidly on our platform or on third-party platforms, our traffic may seek other channels to obtain the information, and may not return to our platform or view our content on third-party platforms, or use our platform as often in the future, or at all. This would negatively impact our ability to attract, retain and increase the number and engagement of our traffic, platform partners and advertisers, as well as damage our brands, generate legal costs or liability, and harm our operating result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operating results could be harmed.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growth and expansion of our business creates significant challenges for our management, and for our operational and financial resources. We intend to continue to make substantial investments to expand our operations, engineering, content development, sales and marketing, and general and administrative organizations. We face significant competition for employees from other companies and we may not be able to hire new employees quickly enough to meet our needs. Providing our content, services and features to our traffic and advertisers is costly and we expect our expenses to continue to increase in the future as we broaden our demographic reach and as we develop and implement new features and services that require more infrastructure. Historically, our costs have declined each year as we drove the business to profitability. However, as we continue to expand the business, we will need to invest in our operating expenses, such as our research and development expenses and sales and marketing expenses, in order to keep pace with the growth of our business. We expect to continue to invest in our infrastructure in order to enable us to provide our content and services rapidly and reliably around the world, including in countries where we do not expect significant near-term monetization. Continued growth could also strain our ability to develop and improve our operational, financial, legal and management controls, and enhance our reporting systems and procedures. In addition, some members of our management team have limited experience managing a large global business operation and may not be able to manage growth effectively. Our expenses may grow faster than our revenue, and our expenses may be greater than we anticipate. As our organization continues to grow, and we are required to implement more complex organizational management structures, we may find it increasingly difficult to maintain certain benefits of our corporate culture, including our ability to quickly develop and launch new and innovative content, services and features. This could negatively affect our business performance.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 could disrupt our business and harm our financial condition and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expand and grow our business in response to changing technologies, user and advertiser demands, and competitive pressures. In some circumstances, we may determine to expand and grow through the acquisition of complementary businesses and technologies rather than through internal development. The identification of suitable acquisition candidates can be difficult, time-consuming and costly, and we may not be able to successfully complete identified acquisitions.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risks we face in connection with acquisitions include:</w:t>
      </w:r>
    </w:p>
    <w:p>
      <w:pPr>
        <w:spacing w:after="0" w:line="225"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functions;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 and processes;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may have lacked effective controls, procedures and policies prior to the acquisition;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operating expenses or the impairment of goodwill, any of which could harm our financial condition or operating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acquisitions, and we may incur significant costs to integrate and support the companies we acquire.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make acquisitions and investments and may pursue other strategic initiatives, including our recent acquisitions of HuffPost and of Complex Networks as part of the Business Combination.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or be compelled to delay or not proceed with announced transactions or initiatives. Additionally, federal regulatory agencies such as the Federal Trade Commission (the “FTC”) or the Department of Justice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the integration of acquisitions requires significant time and resources, and we may not manage these processes successfully. Our ability to successfully integrate complex acquisitions is unproven. We continue to make substantial investments of resources to support our acquisitions, which will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 and our business may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increased challenges and risks.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offices around the world and our content is available in multiple languages. Our business and the conduct of our operations internationally requires considerable management attention and resources and is subject to the particular challenges of supporting a growing business in an environment of multiple languages, cultures, customs, legal and regulatory systems, alternative dispute systems and commercial markets. Operating internationally subjects us to additional risks and may increase risks that we currently face, including risks associated with:</w:t>
      </w:r>
    </w:p>
    <w:p>
      <w:pPr>
        <w:spacing w:after="0" w:line="183" w:lineRule="exact"/>
        <w:rPr>
          <w:sz w:val="20"/>
          <w:szCs w:val="20"/>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talented and capable employees in foreign countries and maintaining our company culture across all of our offices;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local media companies and mobile applications which have expanded and may continue to expand their geographic footprint;</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lower levels of user growth, user engagement and ad engagement in new and emerging geographic territories;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laws and regulations with respect to privacy, consumer protection and media freedom;</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the United States;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Foreign Corrupt Practices 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through license agreements with third parties managing certain BuzzFeed branded operations outside of the United States;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manage the complexity of our global operations successfully, our business, financial condition and operating results could be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track certain performance metrics, including Time Spent, with our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contain open source software, and we license some of our software through open source projects, which may pose particular risks to our proprietary software, products, and services in a manner that could have a negative effect on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services and will use open source software in the future. In addition, we contribute software source code to open source projects under open source licenses or release internal software projects under open source licenses, and anticipate doing so in the future.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Additionally, because any software source code we contribute to open source projects is publicly available,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our content and services on the Internet. If we or those who engage with our brands or content experience disruptions in Internet service or if Internet service providers are able to block, degrade or charge for access to our content and services, we could incur additional expenses and the loss of traffic and advertisers.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ability of our traffic and advertisers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by our traffic to our content, products or services, which would, in turn, negatively impact our business. The adoption of any laws or regulations that adversely affect the growth, popularity or use of the Internet, including laws or practices limiting Internet neutrality, could decrease the demand for, or the usage of, our content, products and services, increase our cost of doing business and adversely affect our operating results. We also rely on other companies to maintain reliable network systems that provide adequate speed, data capacity and security to us and our traffic. As the Internet continues to experience growth in the level of traffic, frequency of engagement, and amount of data transmitted, the Internet infrastructure that we and our traffic rely on may be unable to support the demands placed upon it. Failures of the Internet infrastructure that we or our traffic rely on, even for a short period of time, could undermine our operations and harm our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COVID-19 continues to be a source of uncertainty in the marketplace and, depending on how the virus tracks and whether new variants emerge, could continue to cause disruption in our business operations. The ongoing effects of the COVID-19 pandemic, including supply chain disruptions, continue to be unpredictable, and may have an adverse effect on our business, results of operations, and financial condition.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health problems resulting from COVID-19 and precautionary measures instituted by governments and businesses to mitigate its spread, including travel restrictions and quarantines, could continue to contribute to a general economic slowdown, adversely impact our business partners, and disrupt our operations.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in March 2020, we transitioned our entire staff to a remote working environment, which impacts productivity and our business operations. We have had to expend, and expect to continue to expend, resources to respond to the COVID-19 pandemic, including to develop and implement internal policies and procedures and track changes in laws. The remote working environment may also create increased vulnerability to cybersecurity incidents, including breaches of information systems security, which could damage our reputation and commercial relationships. Changes in our operations in response to COVID-19 or employee illnesses resulting from COVID-19 may also result in inefficiencies or delays, and additional costs related to business continuity initiatives, that cannot be fully mitigated through succession and business continuity planning, employees working remotely or using teleconferencing technologies. Any prolonged diversion of resources may have an adverse effect on our operations. Over time, such remote operations may decrease the cohesiveness of our teams and our ability to maintain our culture, both of which are critical to our success. Additionally, a remote working environment may impede our ability to undertake new business projects, foster a creative environment, and hire and retain team members. Such effects may adversely affect the productivity of our team members and overall operations, which could have a material adverse effect on our business, results of operations, financial condition, and future prospects.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impact of the ongoing COVID-19 pandemic is severe, widespread, and continues to evolve. The extent to which the COVID-19 pandemic will continue to impact our business will depend on future developments, which are highly uncertain and cannot be predicted at this time, including:</w:t>
      </w:r>
    </w:p>
    <w:p>
      <w:pPr>
        <w:spacing w:after="0" w:line="176"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spread of the pandemic, including any resurgences or new emerging variants;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efficacy of COVID-19 vaccines and boosters;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taken in response to the pandemic, including business closures and any shelter-in-place guidelines;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national and global economic activity, including constraints in the supply chain associated with labor, global logistics and availability of raw materials, and on capital and financial markets, including the possibility of a national or global recession;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the financial circumstances and employment needs of our business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disruptions that affect our workforce;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to contain the pandemic or treat its impact.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 similar public health threat has an impact on our business, results of operations, and financial condition, it is likely also to have the effect of heightening many of the other risks described in this Part I, Item 1A. “Risk Factors” section.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or significant power outage could have a material adverse impact on our business, operating results, and financial condition. Despite any precautions we may take, the occurrence of a natural disaster or other unanticipated problems in our cloud infrastructure could result in lengthy interruptions in our services. In addition, acts of terrorism and other geo-political unrest (including the developing conflict between Russia and Ukraine) could cause disruptions in our business. All of the aforementioned risks may be further increased if our disaster recovery plans prove to be inadequate. We have implemented a disaster recovery program for a subset of our properties, which allows us to serve static content or switch content delivery networks in the event of a catastrophe. Further, a portion of our employees are journalists, who may face heightened dangers during such catastrophes, particularly when reporting in high-risk environments, and any failure on our part to mitigate such risks could cause us reputational harm and adversely impact our business, financial condition and operating results. Although the program is functional, our properties will have degraded experiences including a period of time that our products or services, or certain of our products or services, will remain inaccessible or people may experience severe issues accessing our products and services. We do not carry business interruption insurance sufficient to compensate us for the potentially significant losses, including the potential harm to our business that may result from interruptions in our ability to provide our products and services. Any such natural disaster or man-made problem could adversely impact our business, financial condition and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(“SPACs”) entitled “Staff Statement on Accounting and Reporting Considerations for Warrants Issued by Special Purpose Acquisition Companies” (the “SEC Staff Statement”). Specifically, the SEC Staff Statement focused on certain settlement terms and provisions related to certain tender offers following a business combination, which terms are similar to those contained in the warrant agreement governing our warrants.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included on our balance sheet as of December 31, 2021 contained elsewhere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that are accounted for as a warrant liability will be recorded at fair value upon issuance with changes in fair value each period reported in earnings, which may have an adverse effect on the market price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the 9,842,500 warrants issued in connection with 890’s initial public offering (including the 9,583,333 public warrants sold as part of the units in the initial public offering and the 259,167 private placement warrants underlying the private placement units) in accordance with the guidance contained in Derivatives and Hedging — Contracts in Entity’s Own Equity (ASC 815-40). Such guidance provides that because the warrants do not meet the criteria for equity treatment thereunder, each warrant must be recorded as a liability. Accordingly, we will classify each warrant as a liability at its fair value. This liability is subject to re-measurement at each balance sheet date. With each such remeasurement, the warrant liability will be adjusted to fair value, with the change in fair value recognized in our statement of operations and therefore our reported earnings. The impact of changes in fair value on earnings may have an adverse effect on the market price of our Class A common stock.</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Prior to the Business Combination, Legacy BuzzFeed identified material weaknesses in its internal control over financial reporting which, if not corrected, could affect the reliability of our consolidated financial statements and have other adverse consequences. We may also have to address any unremediated material weakness in internal control over financial reporting as the accounting acquirer in the Business Combination.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financial statements would not be prevented or detected on a timely basis. Legacy BuzzFeed identified material weaknesses in its internal control over financial reporting that we are currently working to remediate, which relate to: (a) a lack of formalized internal control and segregation of duties in the financial statement close process;</w:t>
      </w:r>
    </w:p>
    <w:p>
      <w:pPr>
        <w:spacing w:after="0" w:line="3" w:lineRule="exact"/>
        <w:rPr>
          <w:sz w:val="20"/>
          <w:szCs w:val="20"/>
          <w:color w:val="auto"/>
        </w:rPr>
      </w:pPr>
    </w:p>
    <w:p>
      <w:pPr>
        <w:jc w:val="both"/>
        <w:ind w:firstLine="8"/>
        <w:spacing w:after="0" w:line="255" w:lineRule="auto"/>
        <w:tabs>
          <w:tab w:leader="none" w:pos="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sufficient levels of staff with public company and technical accounting experience; (c) the lack of a formalized risk assessment process, including the assessment of fraud risk; and (d) selection and development of control activities, including information technology general controls.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concluded that these material weaknesses in our internal controls over financial reporting were due to the fact that Legacy BuzzFeed was a private company with limited resources and did not have the necessary business processes and related internal control formally designed and implemented coupled with the appropriate resources with the appropriate level of experience and technical expertise to oversee its business processes and controls.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has developed a plan to remediate the material weaknesses identified above. The remediation plan includes specific actions for each material weakness and associated deadlines. During 2021, with the oversight of senior management, we have hired and will continue hiring additional accounting personnel with technical accounting and financial reporting experience and implement improved process level and management review controls with respect to the completeness, accuracy and validity of complex accounting measurements on a timely basis. We also have supplemented accounting resources with external advisors to assist with performing technical accounting activities. We are implementing a process of formalizing procedures to ensure appropriate internal communications between the accounting department and other operating departments necessary to support the internal controls. We completed an initial enterprise risk assessment, including considerations related to fraud risks, hired additional accounting and internal control personnel, and designed and implemented an initial set of procedures and controls.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actions, and the evidence obtained in validating the design and operating effectiveness of the controls, management has determined that the material weakness related to a formalized risk assessment process has been remediated as of December 31, 2021. In addition, as of December 31, 2021, although we made significant progress in the design and implementation of systems and controls related to IT controls, the necessary business process and IT general controls were partially implemented or not executed consistently; thus material weaknesses in our internal control environment were concluded not to be remediated.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are implementing a plan to remediate these material weaknesses, we cannot predict the success of such plan or the outcome of our assessment of these plans at this time. These improvements to our internal control infrastructure are ongoing, including during the preparation of our financial statements as of the end of the period covered by this report. The planned completion of the implementation of all controls is anticipated to be prior to the end of 2022. We are committed to continuing to improve our internal control processes and will continue to diligently review our financial reporting controls and procedures. We cannot assure you that we will not identify other material weaknesses in future periods. We have expended and expect to continue to expend significant effort and have incurred and expect to continue to incur significant costs for the remediation of our material weaknesses.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not remediated, these material weaknesses could result in material misstatements to our annual or interim consolidated financial statements that might not be prevented or detected on a timely basis, or in the delayed filing of required periodic reports.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12, 2021, the Staff of the SEC issued the SEC Staff Statement. Following issuance of the SEC Statement, 890 concluded that it was not necessary to restate its previously issued audited consolidated financial statements as of and for the period ended December 31, 2020. However, as part of such process, 890 identified a material weakness in its internal control over financial reporting. As the accounting acquirer in the Business Combination, we will have to address any unremediated material weakness in internal control over the financial reporting at 890, including this material weakness with respect to accounting for 890’s warrants.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in accordance with SEC Staff guidance on redeemable equity instruments, ASC 480-10-S99, “Distinguishing Liabilities from Equity,” and EITF Topic D-98, “Classification and Measurement of Redeemable Securities,” redemption provisions not solely within the control of the issuing company require common stock subject to redemption to be classified outside of permanent equity and, according to recent SEC Staff communications with certain independent auditors, notwithstanding the presence of maximum redemption thresholds or charter provisions common in SPACs that provide a limitation on redemptions that would cause a SPAC’s net tangible assets to be less than $5,000,001. Although 890 did not specify a maximum redemption threshold, 890’s charter provided that it would not redeem its public shares in an amount that would cause its net tangible assets to be less than $5,000,001. In light of the SEC Staff communications with certain independent auditors, 890’s management re-evaluated the effectiveness of its disclosure controls and procedures as of June 30, 2021. Based upon that evaluation, 890 concluded that the misclassification of its Class A common stock was quantitatively material to individual line items within the balance sheet but was not material to its reported financial position and was qualitatively immaterial to its condensed consolidated financial statements. 890 further concluded that the misstatement was not indicative of a pervasive issue in its internal control, had no impact on 890’s statement of cash flows, did not impact any other balance sheet line items other than total stockholders’ equity and Class A common stock subject to redemption, and was not disclosed in any other Exchange Act filings other than its balance sheet as of January 14, 2021 and Quarterly Reports on Form 10-Q for the periods ending March 31, 2021, and June 30, 2021. Based upon the foregoing, and due to the industry-wide issues and related insufficient risk assessment of the underlying accounting for certain instruments, 890 concluded that the misclassification of its Class A common stock represented a material weakness.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public accounting firm is unable to express an unqualified opinion as to the effectiveness of our internal control over financial reporting, investors may lose confidence in the accuracy and completeness of our financial reports, the market price of our Class A common stock and warrants could be adversely affected and we could become subject to litigation or investigations by Nasdaq, the SEC, or other regulatory authorities, which could require additional financial and management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imposed by our debt facilities could adversely affect our operating flexibility.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debt facilities, including the indenture governing the Notes, limit our ability to, among other things:</w:t>
      </w:r>
    </w:p>
    <w:p>
      <w:pPr>
        <w:spacing w:after="0" w:line="225"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or permit them to exist;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debt facilities also contain covenants requiring us to maintain certain amounts of unrestricted cash. The provisions in our debt facilities may affect our ability to obtain future financing and to pursue attractive business opportunities and our flexibility in planning for, and reacting to, changes in business conditions. As a result, restrictions in our debt facilities could adversely affect our business, financial condition, and results of operations. In addition, a failure to comply with the provisions of our debt facilities could result in a default or an event of default that could enable our lenders to declare the outstanding principal of that debt, together with accrued and unpaid interest, to be immediately due and payable. If the payment of outstanding amounts under our debt facilities is accelerated, our assets may be insufficient to repay such amounts in full, and our stockholders could experience a partial or total loss of their investment. Please see Part II. Item 7. “Management’s Discussion and Analysis of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convertible notes may impact our financial results, result in the dilution of our stockholders, create downward pressure on the price of our Class A common stock, and restrict our ability to raise additional capital or take advantage of future opportunities.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issued $150.0 million aggregate principal amount of convertible notes (the “Notes”). The Notes are convertible into shares of our Class A common stock at an initial conversion price $12.50 and bear interest at a rate of 8.50% per annum. The sale of the Notes may affect our earnings per share figures, as accounting procedures may require that we include in our calculation of earnings per share the number of shares of Class A common stock into which the Notes are convertible. If shares of Class A common stock are issued to the holders of the Notes upon conversion, there will be dilution to our stockholders and the market price of our Class A common stock may decrease due to the additional selling pressure in the market. Any downward pressure on the price of our Class A common stock caused by the sale, or potential sale, of shares issuable upon conversion of the Notes could also encourage short sales by third parties, creating additional selling pressure on our share price.</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repurchase the Notes upon a fundamental change or repay the Notes in cash at their maturity, and our future debt may contain limitations on our ability to pay cash upon conversion, redemption or repurchase of the Notes.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the Notes have the right under the indenture governing the Notes to require us to repurchase all or a portion of their Notes (i) upon the occurrence of a fundamental change before the applicable maturity date at a repurchase price equal to 101% of the principal amount of such Notes to be repurchased plus accrued and unpaid interest to, but not including, the repurchase date and (ii) after the third anniversary of the issuance of the Notes at 100% of the principal amount of the Notes to be purchased plus accrued and unpaid interest to, but not including, the repurchase date.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ability to repurchase, redeem or to pay cash upon conversion of Notes may be limited by law, regulatory authority, or agreements governing our future indebtedness. Our failure to repurchase the Notes at a time when the repurchase is required by the indenture or to pay cash upon conversion of such Notes as required by the indenture would constitute a default under the indenture. A default under the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interest on such indebtedness and repurchase the Notes or to pay cash upon conversion of the Notes.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still incur substantially more debt or take other actions that would diminish our ability to make payments on the Notes when due.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We are subject to certain restrictions under the terms of the indenture governing the Notes, including limitations regarding incurring future indebtedness, subject to specific allowances in the indenture. However, we will not be restricted from recapitalizing our debt or taking a number of other actions that are not limited by the terms of the indenture that could have the effect of diminishing our ability to make payments on the Notes when due.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need additional financing to operate or grow our business. Our ability to obtain additional financing, if and when required, will depend on investor and lender demand, our operating performance, the condition of the capital markets and other factors, and we do not know whether additional financing will be available to us on favorable terms when required, or at all. If we raise additional funds through the issuance of equity, those securities may have rights, preferences or privileges senior to the rights of our existing preferred and common stock, and our existing stockholders will experience dilution. If we are unable to obtain adequate financing or financing on terms satisfactory to us when we require it, our ability to continue to support the operation or growth of our business could be significantly impaired and our operating results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we had accumulated $314.5 million and $11.3 million of federal and state net operating loss carryforwards (“NOLs”), respectively, available to reduce future taxable income, some of which will begin to expire in 2030 for federal and 2025 for state tax purposes. It is possible that we will not generate sufficient taxable income in time to use NOLs before their</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expiration, or at all. Under Section 382 and Section 383 of the Internal Revenue Code of 1986, as amended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Tax Act, as amended by the Coronavirus Aid, Relief, and Economic Security Act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2021.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2021.</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Illinois, and other states may enact suspensions as well. For these reasons, we may not be able to realize a tax benefit from the use of our NOLs and tax credits.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that involve matters central to our business, including contracts, securities, privacy, rights of publicity, data protection, content regulation, intellectual property (copyright, trademark and patent), libel and defamation, labor and employment, competition, protection of minors, consumer protection, taxation and regulation of controlled substances. Many of these laws and regulations are subject to constant legislative or administrative review and modification. Additionally, many of these laws and regulations are still being tested in courts and could be interpreted or applied in ways that could harm our business, particularly in the rapidly evolving industry in which we operate. The introduction of new products or services may subject us to additional laws and regulations. In addition, foreign data protection, privacy, libel and defamation, consumer protection, content regulation and other laws and regulations are often more restrictive than those in the United States. In particular, the European Union and its member states traditionally have taken broader views as to types of data that are subject to privacy, content and data protection, and have imposed greater legal obligations on companies in this regard. A number of proposals are pending before federal, state and foreign legislative and regulatory bodies that could significantly affect our business.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government, including the FTC and the Department of Commerce, has announced that it is reviewing the need for greater regulation for the collection of information concerning user behavior on the Internet, including regulation aimed at restricting certain online tracking and targeted advertising practices. There have been a number of recent legislative proposals in the United States,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both the federal and state level, that would impose new obligations in areas such as privacy, consent and data protection. There have also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If Congress revises or repeals Section 230 or the Federal Communication Commission adopts rules, we may no longer be afforded the same level of protection offered by Section 230. This would increase the risks for liability for copyright infringement by third parties faced by internet-based businesses like us that rely on third-party content. Additionally, recent amendments to U.S. patent laws may affect the ability of companies, including us, to defend against claims of patent infringement.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allow use of our website and applications without the collection of extensive personal information, such as age. We may experience additional pressure to expand our collection of personal information in order to comply with new and additional regulatory demands or we may independently decide to do so. Having additional personal information may subject us to additional regulation. Further, it is difficult to predict how existing laws and regulations will be applied to our business and the new laws and regulations to which we may become subject, and it is possible that they may be interpreted and applied in a manner that is inconsistent with our practices. These existing and proposed laws and regulations can be costly to comply with and can delay or impede the development of new content, products and services, result in negative publicity, significantly increase our operating costs, require significant time and attention of management and technical personnel and subject us to inquiries or investigations, claims or other remedies, including fines or demands that we modify or cease existing business practices.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our operations in non-U.S. jurisdictions are in many cases subject to the laws of the jurisdictions in which we operate rather than U.S. law. Laws in some jurisdictions differ in significant respects from those in the U.S. These differences can affect our ability to react to changes in our business, and our rights or ability to enforce rights may be different than would be expected under U.S. law. Moreover, enforcement of laws in some overseas jurisdictions can be inconsistent and unpredictable, which can affect both our ability to enforce our rights and to undertake activities that we believe are beneficial to our business. In addition, the business and political climate in some jurisdictions may encourage corruption, which could reduce our ability to compete successfully in those jurisdictions while remaining in compliance with local laws or U.S. anti-corruption laws applicable to our businesses. As a result, our ability to generate revenue and our expenses in non-U.S. jurisdictions may differ from what would be expected if U.S. law governed these operations.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Legacy BuzzFeed and Complex Networks derived less than 0.2% of their combined revenues for the years ended December 31, 2021 and 2020, respectively, from advertisements relating to cannabis, which may be considered a controlled substance, or cannabis-related products. Controlled substances are subject to state, federal, and foreign laws and regulations regarding their manufacture, use, sale, importation, exportation and distribution. Among other things, certain controlled substances, including marijuana, are regulated under the federal Controlled Substances Act of 1970 (“CSA”) and implementing regulations of the U.S. Drug Enforcement Administration (“DEA”). The cannabis-related advertisements on both Legacy BuzzFeed’s and Complex Networks’ platforms were in compliance with state and local laws. However, certain varieties of cannabis continue to be controlled substances under the CSA and Legacy BuzzFeed and Complex Networks may not have been in compliance with federal law with respect to such advertisements. Our current advertising practices across all platforms, including Complex Networks, do not permit advertisements in the United States relating to federally prohibited cannabis-related activities (this does not include advertisements relating to hemp derived products, including Cannabidiol (“CBD”), which are permitted under federal law) on our platforms. However, if the historical activities of Legacy BuzzFeed and Complex Networks were to become the subject of enforcement actions and sanctions from the DEA or otherwise arising under federal law, such actions and sanctions may have a negative effect on our business, financial condition, results of operations or reputation.</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new laws and regulations, changes in existing laws and regulations or the interpretation of them, our introduction of new content, features and services, or an extension of our business into new areas, could increase our future compliance costs, make our content, features and services less attractive to our traffic or advertisers, or cause us to change or limit our business practices. We may incur substantial expenses to comply with laws and regulations or defend against a claim that we have not complied with them. Further, any failure on our part to comply with any relevant laws or regulations may subject us to significant civil or criminal liabilities, penalties and negative publicity.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with respect to privacy, data protection and consumer marketing practices, could adversely affect our business.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various laws and regulations of local and foreign jurisdictions with respect to privacy and the collection and use of personal data and information, as well as laws and regulations with respect to consumer marketing practices.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Various federal and state laws and regulations, as well as the laws of foreign jurisdictions, govern the processing (including the collection, use, retention and sharing) and security of the data we receive from and about individuals. Failure to protect confidential data, provide individuals with adequate notice of our privacy policies or obtain required valid consent, for example, could subject us to liabilities imposed by these jurisdictions. Existing privacy-related laws and regulations are evolving and subject to potentially differing interpretations, and various federal and state legislative and regulatory bodies, as well as foreign legislative and regulatory bodies, may expand current or enact new laws regarding privacy and data protection. For example, the GDPR adopted by the European Union imposes more stringent data protection requirements and significant penalties for noncompliance; the CCPA creates new data privacy rights; and the European Union’s forthcoming ePrivacy Regulation is expected to impose, with respect to electronic communications, stricter data protection and data processing requirements.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Existing and newly adopted laws and regulations with respect to privacy and the collection and use of personal data and information, as well as consumer marketing practices (or new interpretations of such existing laws and regulations) have imposed and may continue to impose obligations that may affect our business, require us to incur increased compliance costs and cause us to further adjust our advertising or marketing practices. Any failure, or perceived failure, by us or the third parties upon which we rely to comply with the laws and regulations relating to privacy, data protection, or consumer marketing practices that govern our business operations,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Each of these potential consequences could adversely affect our business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claims, lawsuits (including class actions), government investigations, arbitrations and other proceedings involving competition and antitrust, intellectual property (including copyright, trademark and patent), privacy, defamation, libel and slander, consumer protection, securities, tax, labor and employment, commercial disputes, and other matters that could adversely affect our business operations and financial condition.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The outcome of any legal proceeding, regardless of its merits, is inherently uncertain. Pending or future legal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We may also determine in certain instances that a settlement may be a more cost-effective and efficient resolution for a dispute.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could reduce the value of our content, services and brand.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trademarks, logos, trade secrets, copyrights and other intellectual property rights are important assets for us. We rely on, and expect to continue to rely on, a combination of work for hire, consulting, assignment, license and confidentiality agreements with</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employees, consultants and third parties with whom we have relationships, as well as trademark, trade dress, domain name, copyright, trade secret and patent laws, to protect our brand and other intellectual property rights. However, these agreements may be breached which could impair or destroy the value of this intellectual property to the company. Moreover, various other events outside of our control pose a threat to our intellectual property rights. For example, we may fail to obtain effective intellectual property protection, or effective intellectual property protection may not be available in every country in which our content and brands are utilized in commerce. Also, the efforts that we have taken to protect our intellectual property rights may not be sufficient or effective, and any of our intellectual property rights may be challenged, which could result in them being narrowed in scope or declared invalid or unenforceable. There can be no assurance our intellectual property rights will be sufficient to protect against others offering products or content that are substantially similar to ours and compete with our business.</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pursuing registration of trademarks and domain names in the United States and in certain jurisdictions outside of the United States. Effective protection of trademarks and domain names is expensive and difficult to maintain, both in terms of application and registration costs as well as the costs of defending, maintaining and enforcing those rights. We may be required to protect our rights in an increasing number of countries, a process that is expensive and may not be successful.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unable to obtain patent or trademark protection for our technologies and brands, and our existing trademarks, and any patents or trademarks that may be issued in the future, may not provide us with competitive advantages or distinguish our products and content from those of our competitors. In addition, any patents and trademarks may be contested, circumvented, or found unenforceable or invalid, and we may not be able to prevent third parties from infringing, diluting or otherwise violating them.</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Significant impairments of our intellectual property rights, and limitations on our ability to assert our intellectual property rights against others, could harm our business and our ability to compete.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party to intellectual property rights claims that are expensive and time consuming to defend, and, if resolved adversely, could have a significant impact on our business, financial condition or operating results.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receive claims from third parties that allege that we have infringed upon their intellectual property rights. Further, from time to time we may introduce new products and services, including in areas where we currently do not operate, which could increase our exposure to patent and other intellectual property claims from competitors and non-practicing entities. In addition, some of our agreements with advertisers, platform partners, data partners, social media platforms, and licensees require us to indemnify them for certain intellectual property claims against them, which could require us to incur considerable costs in defending such claims, and may require us to pay significant damages in the event of an adverse ruling. Advertisers and platform partners may also discontinue use of our products and services as a result of injunctions or otherwise, which could result in loss of revenue and adversely impact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employees are unionized, and our business and results of operations could be adversely affected if labor agreements were to further restrict our ability to maximize the efficiency of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Approximately 10% of our employees were unionized as a part of NewsGuild, with respect to employees associated with BuzzFeed News, or WGA East, with respect to employees associated with HuffPost. As a result, we are required to negotiate the wage, benefits and other terms and conditions of employment with these employees collectively. Our results could be adversely affected if future labor negotiations or contracts were to further restrict our ability to maximize the efficiency of our operations, or if a larger percentage of our workforce were to be unionized. If we are unable to negotiate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require substantial financial and management resources and increase the time and costs of completing a business combination.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were not a publicly reporting company required to comply with Section 404 of the Sarbanes-Oxley Act and our management may not be able to effectively and timely implement controls and procedures that adequately respond to the increased regulatory compliance and reporting requirements that are applicable to us following the Business Combination. If we are not able to implement the requirements of Section 404, including any additional requirements once we are no longer an emerging growth company, in a timely manner or with adequate compliance, we may not be able to assess whether our internal control</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financial reporting is effective, which may subject us to adverse regulatory consequences and could harm investor confidence and the market price of our securities. Additionally, once we are no longer an emerging growth company, we will be required to comply with the independent registered public accounting firm attestation requirement on our internal control over financial reporting.</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our costs and the risk of non-compliance.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increased general and administrative expenses and a diversion of management time and attention.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(including upon the exercise of warrants) which would increase the number of shares eligible for future resale in the public market and result in dilution to our stockholders.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2021, there were 9,583,333 outstanding public warrants to purchase 9,583,333 shares of Class A common stock at an exercise price of $11.50 per share, which warrants became exercisable on January 14, 2022. In addition, there were 259,167 private placement warrants and 33,333 working capital warrants outstanding exercisable for a total of 292,500 shares of Class A common stock at an exercise price of $11.50 per share, as well as the Notes, which are convertible into approximately 12,000,000 shares of Class A common stock. We have previously entered into, and may in the future enter into, contractual arrangements with certain customers and other parties and earnout arrangements in connection with acquisitions that, in each case, provide for the issuance of our warrants and/or common stock upon achievement of specified milestones. Moreover, we may issue a substantial number of additional shares of Class A common stock (or securities convertible, exercisable or exchangeable for Class A common stock) in the future, including in connection with contractual relationships with customers, acquisitions, pursuant to compensation arrangements or as a result of financing transactions. The issuance of additional shares of Class A common stock as a result of any of the aforementioned transactions may result in dilution to the holders of our Class A common stock and an increase in the number of shares eligible for resale in the public market. Sales of a substantial number of such shares in the public markets may adversely affect the market price of our Class A common stock, the impact of which is increased as the value of our stock price increases.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the holder, thereby making the warrants worthless.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$0.01 per warrant, provided that the closing price of our Class A common stock equals or exceeds $18.00 per share for any 20 trading days within a 30 trading-day period ending on the third trading day prior to the date we give notice of redemption. If and when the warrants become redeemable by us, we may exercise the redemption right even if we are unable to register or qualify the underlying securities for sale under all applicable state securities laws. Redemption of the outstanding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private placement warrants will be redeemable by us so long as they are held by their initial purchasers or their permitted transferees.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may redeem warrants after they become exercisable for a number of shares of Class A common stock determined based on the redemption date and the fair market value of Class A common stock. Any such redemption may have similar consequences to a cash redemption described above. In addition, such redemption may occur at a time when the warrants are “out-of-the-money,” in which case the holder would lose any potential embedded value from a subsequent increase in the value of Class A common stock had the warrants remained outstanding.</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warrants will be in the money at the time they become exercisable, and they may expire worthless.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for the outstanding warrants is $11.50 per share of Class A common stock. There can be no assurance that the warrants will be in the money following the time they become exercisable and prior to their expiration, and as such, the warrants may expire worthless.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as well as the voting agreements entered into in connection with the Business Combination, have the effect of concentrating voting power with our Chief Executive Officer, which will limit other stockholders’ ability to influence the outcome of important transactions, including a change in control.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2021, Jonah Peretti and his affiliates, after giving effect to the Holder Voting Agreement, hold over 65% of the voting power of our outstanding common stock. In addition to voting together with our Class A common stock (with one vote per share) on all matters, the holders of our Class B common stock are entitled to fifty (50) votes for each share of Class B common stock held of record by such holder on each matter on which such holders of such shares are entitled to vote, as set out in our second amended and restated certificate of incorporation. Accordingly, Mr. Peretti will be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the company, could deprive our stockholders of an opportunity to receive a premium for their capital stock as part of a sale of the company, and might ultimately affect the market price of shares of our Class A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may increase the risk of securities-related litigation, or cause the loss of part or all of holders’ investments.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price of our Class A common stock and public warrants may fluctuate or be volatile. In addition, if the benefits of the Business Combination do not meet the expectations of investors or securities analysts, the market price of our Class A common stock and public warrants may decline. Some companies that have experienced volatility in the trading price of their securities have been the subject of securities litigation. Any securities litigation could result in substantial costs and divert our management’s attention and resources, which could adversely affect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price of our Class A common stock and public warrants could decline for reasons unrelated to our business, financial performance, or growth. Stock prices of many digital native and technology companies have historically been highly volatile.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holders’ investments. Prior to the Business Combination, there was no public market for the stock of Legacy BuzzFeed and trading in the shares of 890’s Class A common stock and public warrants was not active. Accordingly, the valuation ascribed to us in the Business Combination may not be indicative of the price that will prevail in the trading market.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investments in our securities and our securities may trade at prices significantly below the price originally paid for them. In such circumstances, the trading price of our securities may not recover and may experience a further decline.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industry in which we operate in general;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market new and enhanced products and services on a timely basis;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Class A common stock available for public sale;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Class A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inflationary pressures, fuel prices, international currency fluctuations, acts of war, terrorism and the continuing impact of the COVID-19 pandemic on the markets and the broader global economy.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specifically, have experienced extreme volatility that has often been unrelated to the operating performance of particular companies. As a result of this volatility, securityholders may not be able to sell their securities at or above the price at which they were acquired.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the Nasdaq, which could limit investors’ ability to make transactions in our securities and subject us to additional trading restrictions.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never develop or, if developed, it may not be sustained. Our Class A common stock and warrants are listed on Nasdaq under the symbols “BZFD” and “BZFDW,” respectively. However, we cannot assure you that we will be able to maintain the listing of our securities in the future. If Nasdaq delists our Class A common stock and/or warrants from trading on its exchange for failure to meet the listing standards, we and our securityholders could face significant material adverse consequences including:</w:t>
      </w:r>
    </w:p>
    <w:p>
      <w:pPr>
        <w:spacing w:after="0" w:line="183"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possibly resulting in a reduced level of trading activity in the secondary trading market for our Class A common stock;</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If our Class A common stock was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as well as provisions of Delaware law, could impair a takeover attempt.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substantial influence that Mr. Peretti will be able to exert over matters submitted to our stockholders for approval, including an approval right over any acquisition or liquidation of our company (see “— The multi-class structure of our common stock, as well as the voting agreements entered into in connection with the Business Combination, have the effect of concentrating voting power with our Chief Executive Officer, which will limit other stockholders’ ability to influence the outcome of important transactions, including a change in control.”), our second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 among other things:</w:t>
      </w:r>
    </w:p>
    <w:p>
      <w:pPr>
        <w:spacing w:after="0" w:line="188"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the resignation, death or removal of a director in certain circumstances, which prevents stockholders from being able to fill vacancies on the board of directors;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supermajority voting (or if two-thirds of the board of directors approves, a majority) to amend some provisions in our second amended and restated certificate of incorporation and restated bylaws;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 majority of our board of directors will be authorized to call a special meeting of stockholders;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of directors to make, alter, or repeal our restated bylaws;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 to our board of directors or for proposing matters that can be acted upon by stockholders at annual stockholder meetings;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not be called by the stockholders, which may delay the ability of our stockholders to force consideration of a proposal or to take action, including the removal of directors.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our company or changes in the board of directors and our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(the “DGCL”), which prevents some stockholders holding more than 15% of outstanding common stock from engaging in certain business combinations without approval of the holders of substantially all of our common stock. Any provision of our second amended and restated certificate of incorporation or restated bylaws or Delaware law that has the effect of delaying or deterring a change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control could limit the opportunity for our stockholders to receive a premium for their shares of common stock and could also affect the price that some investors are willing to pay for our common stock.</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provides that, unless we consent in writing to the selection of an alternative forum, any (i) derivative action or proceeding brought on behalf of us; (ii) action or proceeding asserting a claim of breach of a fiduciary duty owed by any current or former director, officer, stockholder, employee or agent of ours to us or our stockholders or any claim for aiding and abetting such alleged breach; (iii) action or proceeding asserting a claim against us or any current or former director, officer, stockholder, employee or agent of ours arising pursuant to any provision of the DGCL or our second amended and restated certificate of incorporation or restated bylaws or as to which the DGCL confers jurisdiction on the Court of Chancery of the State of Delaware; (iv) action or proceeding to interpret, apply, enforce or determine the validity of our second amended and restated certificate of incorporation or restated bylaws; or (v) action or proceeding asserting a claim against us or any current or former director, officer, stockholder, employee or agent of ours governed by the internal affairs doctrine, shall, to the fullest extent permitted by law, be exclusively brought in the Court of Chancery of the State of Delaware or, if such court does not have jurisdiction thereof, and state or federal court located within the State of Delaware. Unless we consent in writing to the selection of an alternative forum, to the fullest extent permitted by law, the federal district courts of the United States of America shall be the exclusive forum for the resolution of any action or proceeding asserting a cause of action arising under the Securities Act or the Exchange Act. Any person or entity purchasing or otherwise acquiring an interest in any shares of our capital stock shall be deemed to have notice of and to have consented to the forum provisions in our second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claims brought to enforce any duty or liability created by the Exchange Act or the rules and regulations thereunder.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Alternatively, if a court were to find these provisions of our second amended and restated certificate of incorporation invalid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as a result, qualify for exemptions from certain corporate governance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certain Nasdaq corporate governance rules including the requirements that (i) a majority of the board of directors consist of “independent” directors under the listing standards of Nasdaq, (ii) director nominees be selected or recommended to the board of directors by independent directors and (iii) we have a compensation committee composed entirely of independent directors. Although we are eligible to use some or all these exemptions, we do not expect to initially avail ourselves of any of these exemptions. However, if we are to use some or all of these exemptions in the future, you may not have the same protections afforded to stockholders of companies that are subject to all of the corporate governance requirements of Nasdaq.</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the Closing Date through June 1, 2022 (180 days following the Closing Date), an aggregate of (i) 102,688,447 shares of our Class A common stock (including 2,776,073 shares of our Class A common stock subject to outstanding equity awards),</w:t>
      </w:r>
    </w:p>
    <w:p>
      <w:pPr>
        <w:jc w:val="both"/>
        <w:ind w:firstLine="8"/>
        <w:spacing w:after="0" w:line="251"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12,019,830 shares of our Class B common stock and (iii) 6,478,031 shares of our Class C common stock held by our stockholders are subject to transfer restrictions set forth in the Registration Rights Agreement and the Investors’ Rights Agreement. From the Closing Date through the earlier of (i) December 3, 2022 (the one year anniversary of the Closing Date), (ii) the date that the last reported sale price of our Class A common stock equals or exceeds $12.00 per share (as adjusted for stock splits, stock capitalizations, reorganizations, recapitalizations and the like) for any 20 trading days within any 30-trading day period commencing at least 150 days after the Closing Date, and (iii) the date on which the company completes a liquidation, merger, capital stock exchange or other similar transaction after the Closing Date that results in all of the company’s stockholders having the right to exchange their shares of Class A common stock for cash, securities or other property, an aggregate of 7,187,500 shares of our Class A common stock held by 200 Park Avenue Partners, LLC (the “Sponsor”), PA 2 Co-Investment LLC (“PA 2 Co-Investment”), Craig-Hallum Capital Group LLC (“Craig-Hallum”) and certain affiliated individuals, are subject to transfer restrictions set forth in the Registration Rights Agreement. As a result, a significant number of our shares of Class A common stock will be available for sale on June 1, 2022. Following the expiration of each lock-up, the applicable securityholders will not be restricted from selling shares of our Class A common stock held by them, other than by applicable securities laws.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restrictions on resale end and registration statements are available for use, the market price of our Class A common stock could decline if the holders of currently restricted shares sell them or are perceived by the market as intending to sell them.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our company.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following consummation of the Business Combination, if no analysts commence coverage of us, the market price and volume for our common shares could be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New York City, New York, where we occupy facilities totaling approximately 113,000 square feet under a lease that expires in 2026. We use these facilities for administration, finance, legal, human resources, information technology, sales and marketing, engineering, technology, production, and development. In addition to our corporate headquarters, we also lease other facilities in New York, California, Australia, Canada, India, Japan, Mexico and the United Kingdom.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evaluating our needs for office space due to our shift to a more flexible work model and our recent acquisition of Complex Networks. In light of these factors, we may determine to sublease certain of our offices. We believe that our facilities are adequate to meet our needs for the immediate future and that suitable additional space will be available to accommodate any expansion of our operations if needed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For information regarding legal proceedings in which we are involved, see “Legal Matters” in Note 17 of the Notes to Consolidated Financial Statements included in Part II, Item 8 of this Annual Report on Form 10-K, which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“BZFD” and “BZFDW,” respectively. Prior to the closing of the Business Combination, 890’s Class A common stock and public warrants were listed on Nasdaq under the symbols “ENFA” and “ENFAW,” respectively. On March 28, 2022, the closing sale price of our Class A common stock was $5.00 per share and the closing sale price of our public warrants was $0.786 per warrant. Our Class B common stock and Class C common stock is not listed or traded on any exchange. As of March 28, 2022, there were 306 holders of record of our Class A common stock, 25 holders of record of our Class B common stock, 1 holder of record of our Class C common stock and 5 holders of record of our public warrants. Such numbers do not include beneficial owners holding our securities through nominee names.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our board of directors may deem relevant. In addition, our ability to pay dividends is limited by covenants of our existing and outstanding indebtedness and may be limited by covenants of any future indebtedness we incur.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(the “Proxy Statement”) for the 2022 Annual Meeting of Stockholders, to be filed with the SEC within 120 days of the year ended December 31, 2021,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issuer purchases of equity securities for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14, 2021, simultaneously with the consummation of the initial public offering of 890, or predecessor entity, 890 consummated the private placement of an aggregate of 777,500 units (the “Private Placement Units”) to the Sponsor, PA 2 Co-Investment, Craig-Hallum and John Lipman at a price of $10.00 per Private Placement Unit, generating total gross proceeds of $7,775,000 (the “Private Placement”). No underwriting discounts or commissions were paid with respect to the Private Placement. The Private Placement was conducted as a non-public transaction and, as a transaction by an issuer not involving a public offering, is exempt from registration under the Securities Act in reliance upon Section 4(a)(2) of the Securities Act. In the Private Placement, the Sponsor purchased 657,500 Private Placement Units, PA 2 Co-Investment purchased 84,000 Private Placement Units, Craig-Hallum purchased 18,000 Private Placement Units and John Lipman purchased 18,000 Private Placement Units. The Private Placement Units are identical to the public units sold in 890’s initial public offering, except that the Private Placement Units (including the underlying securities) are subject to certain transfer restrictions and the holders thereof are entitled to certain registration rights, and, if held by the original holder or their permitted assigns, the underlying warrants (i) may be exercised on a cashless basis, (ii) are not subject to redemption and</w:t>
      </w:r>
    </w:p>
    <w:p>
      <w:pPr>
        <w:spacing w:after="0" w:line="4" w:lineRule="exact"/>
        <w:rPr>
          <w:sz w:val="20"/>
          <w:szCs w:val="20"/>
          <w:color w:val="auto"/>
        </w:rPr>
      </w:pPr>
    </w:p>
    <w:p>
      <w:pPr>
        <w:jc w:val="both"/>
        <w:ind w:firstLine="8"/>
        <w:spacing w:after="0" w:line="253" w:lineRule="auto"/>
        <w:tabs>
          <w:tab w:leader="none" w:pos="3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warrants held by PA 2 Co-Investment, Craig-Hallum and John Lipman, will not be exercisable more than five years from the commencement of sales in 890’s initial public offering. If the Private Placement Units are held by holders other than the initial purchasers or their permitted transferees, then the warrants included in the Private Placement Units will be redeemable by us and exercisable by the holders on the same basis as the warrants included in the units sold in 890’s initial public offering.</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 2021, we issued $150,000,000 in aggregate principal amount of unsecured convertible notes due in 2026 to certain investors (collectively, the “Note Investors”) in accordance with the subscription agreements entered into between us and the Note Investors (the “Note Subscription Agreements”). The Notes bear interest at a rate of 8.50% per annum, payable semi-annually, are convertible into approximately 12,000,000 shares of our Class A common stock, at an initial conversion rate of 80 shares of Class A common stock per $1,000 principal amount of Notes or accrued and unpaid interest thereon (subject to customary adjustment provisions), which is equivalent to an initial conversion price of $12.50 per share of Class A common stock, and shall mature on December 3, 2026. The Notes were issued in reliance on the exemption from registration provided by Section 4(a)(2) of the Securities Act. We relied on this exemption based upon representations made by the Note Investors in the Note Subscription Agreements.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the Sponsor exercised its right to convert the working capital loans made by the Sponsor to 890 into an additional 33,333 private placement warrants and 100,000 shares of Class A common stock in satisfaction of $1.0 million principal amount of the loan. The private placement warrants and shares issued in satisfaction of the working capital loan were issued by us in reliance on the exemption from registration provided by Section 4(a)(2) of the Securities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3, 2021, we entered into separate Private Placement Share Purchase Agreements with each of Cowen Investments</w:t>
      </w:r>
    </w:p>
    <w:p>
      <w:pPr>
        <w:spacing w:after="0" w:line="27" w:lineRule="exact"/>
        <w:rPr>
          <w:sz w:val="20"/>
          <w:szCs w:val="20"/>
          <w:color w:val="auto"/>
        </w:rPr>
      </w:pPr>
    </w:p>
    <w:p>
      <w:pPr>
        <w:jc w:val="both"/>
        <w:ind w:firstLine="8"/>
        <w:spacing w:after="0" w:line="251" w:lineRule="auto"/>
        <w:tabs>
          <w:tab w:leader="none" w:pos="2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(“Cowen”) and Craig-Hallum (such agreements, the “Share Purchase Agreements”), each of which became effective on December 4, 2021. Pursuant to the Share Purchase Agreements, we agreed to sell and each of Cowen and Craig-Hallum agreed to subscribe for 150,656 and 58,781 shares of Class A common stock, respectively, in full satisfaction of $1.5 million and $0.6 million, respectively, a portion of cash fees payable to each of an affiliate of Cowen and Craig-Hallum in connection with certain services provided to 890 in connection with the Business Combination. The purchase and sale of the shares of Class A common stock pursuant to the Share Purchase Agreements was consummated on December 4, 2021. The shares of Class A common stock issued pursuant to the Share Purchase Agreements were issued in reliance on the exemption from registration provided by Section 4(a)(2) of the Securities Act. We relied on this exemption based upon representations made by each of Cowen and Craig-Hallum in the Share Purchase Agreements.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14, 2021, 890 consummated its initial public offering (the “IPO”) of 28,750,000 units (“Units”), which included the full exercise of the underwriters’ over-allotment option. The Units were sold at an offering price of $10.00 per Unit, generating gross proceeds to 890 of $287,500,000. The securities sold in the IPO were registered under the Securities Act on a registration statement on Form S-1 (No. 333-251650). The registration statement became effective on January 11, 2021.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IPO, the full exercise of the over-allotment option, and the sale of the Private Placement Units, total of $287.5 million was deposited into the trust account for the purpose of effecting an initial business combination. After deducting payments to existing 890 shareholders of $271.3 million in connection with their exercise of redemption rights, the remainder of the trust account was used to fund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of BuzzFeed and related notes thereto included elsewhere in this Annual Report on Form 10-K.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titled “Risk Factors” and “Cautionary Note Regarding Forward-Looking Statements” included elsewhere in this Annual Report on Form 10-K.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buy, and obsess over next. With a portfolio of iconic, globally-loved brands that includes BuzzFeed, Tasty, BuzzFeed News, HuffPost, and Complex Networks, the Company reaches more than 100 million viewers monthly. And, across our combined network of brands, we are the number one destination for Gen Z and Millennials amongst our competitive set.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enabled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Twitter, Instagram, Snapchat, YouTube and TikTok. In 2021, our audiences consumed nearly 800 million hours of content which drove approximately $600 million in attributable transactions.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digital media landscape has evolved, so has our business model. Our strength has always been to adapt as the world changes.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 As a result, we have reached an inflection point, and have achieved profitability.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Above all, 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2021, we completed the acquisition of TheHuffingtonPost.com, Inc. (“HuffPost”) (excluding HuffPost’s business in Brazil and India) (the “HuffPost Acquisition”), a publisher of online news and media content, from entities controlled by Verizon Communications Inc. (“Verizon”). We issued 6,478,032 shares of non-voting BuzzFeed Class C common stock to an entity controlled by Verizon, of which 2,639,322 were in exchange for the acquisition of HuffPost and 3,838,710 were in exchange for a concurrent $35.0 million cash investment in BuzzFeed by an affiliate of Verizon, which was accounted for as a separate transaction. The share amounts presented in the preceding sentence give effect to the Reverse Recapitalization.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we announced a restructuring of HuffPost, including employee terminations, in order to efficiently integrate the HuffPost Acquisition and establish an efficient cost structure. We incurred approximately $3.6 million in severance costs related to the restructuring, of which $3.2 million were included in cost of revenue, $0.3 million were included in sales and marketing, and $0.1 million were included in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2021, we entered into the Merger Agreement by and among 890, Merger Sub I, Merger Sub II, and Legacy BuzzFeed. 890 was a special purpose acquisition company formed to acquire one or more operating businesses through a business combination. The Merger Agreement provided for, among other things, the following transactions at the closing: Merger Sub I merged with and into Legacy BuzzFeed, with Legacy BuzzFeed as the surviving company in the merger and, after giving effect to such merger, continuing as a wholly owned subsidiary of 890. Immediately following the Merger, Legacy BuzzFeed merged with and into Merger Sub</w:t>
      </w:r>
    </w:p>
    <w:p>
      <w:pPr>
        <w:spacing w:after="0" w:line="3" w:lineRule="exact"/>
        <w:rPr>
          <w:sz w:val="20"/>
          <w:szCs w:val="20"/>
          <w:color w:val="auto"/>
        </w:rPr>
      </w:pPr>
    </w:p>
    <w:p>
      <w:pPr>
        <w:ind w:firstLine="8"/>
        <w:spacing w:after="0" w:line="260" w:lineRule="auto"/>
        <w:tabs>
          <w:tab w:leader="none" w:pos="1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Merger Sub II being the surviving company of the second merger. In connection with the business combination, 890 was renamed “BuzzFeed, Inc.”</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on March 27, 2021, we entered into the C Acquisition Purchase Agreement to acquire 100% of the outstanding membership interests of CM Partners, in exchange for $200.0 million of cash as adjusted for Closing Specified Liabilities (as defined in the C Acquisition Purchase Agreement) and 10,000,000 shares of BuzzFeed Class A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Two-Step Merger, C Acquisition, and other transactions contemplated by the Merger Agreement are referred to as the Business Combination. The Business Combination closed on December 3, 2021. Upon the consummation of the Business Combination, the new combined company was renamed BuzzFeed, Inc.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Two-Step Merger was accounted for as a reverse capitalization in accordance with GAAP. Under the guidance in ASC 805, 890 was treated as the “acquired” company for financial reporting purposes. We were deemed the accounting predecessor of the combined business and will be the successor SEC registrant, meaning that our consolidated financial statements for previous periods will be disclosed in the registrant’s future periodic reports filed with the SEC.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Two-Step Merger satisfied a liquidity condition for 2.7 million RSUs and the Company recognized approximately $16.0 million of incremental stock-based compensation expense as a cumulative catch-up adjustment based on the number of restricted stock units outstanding and the requisite service completed at December 3, 2021 (“Liquidity 2 RSUs”). There are a further 2.5 million restricted stock units with a liquidity condition that the Two-Step Merger did not satisfy (“Liquidity 1 RSUs”). There is $21.2 million of unrecognized compensation expense associated with the Liquidity 1 RSUs at December 31, 2021. See Note 13 to the consolidated financial statements in Item 8 of this Annual Report on Form 10-K for additional details.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Merger Agreement, the Company issued, and certain investors purchased, $150.0 million aggregate principal of unsecured convertible notes due 2026 (the “Notes”) concurrently with the closing of the Business Combination. Refer to Note 9 to the consolidated financial statements in Item 8 of this Annual Report on Form 10-K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Restructuring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half of 2019, in order to streamline operations and better position us to execute on our strategy, we undertook involuntary terminations of more than 200 employees across various roles and levels. We incurred $9.6 million in costs related to this restructuring, of which $4.4 million were included in cost of revenue, $1.6 million were included in sales and marketing, $2.2 million were included in general and administrative, and $1.4 million were included in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GAAP</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397,564</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321,324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317,923</w:t>
            </w:r>
          </w:p>
        </w:tc>
        <w:tc>
          <w:tcPr>
            <w:tcW w:w="1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(25,154)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(40,268)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(36,919)</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(8,361)</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Time Spent</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618,620</w:t>
            </w:r>
          </w:p>
        </w:tc>
        <w:tc>
          <w:tcPr>
            <w:tcW w:w="1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 on third-party platforms</w:t>
            </w: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1568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73" w:lineRule="exact"/>
        <w:rPr>
          <w:sz w:val="20"/>
          <w:szCs w:val="20"/>
          <w:color w:val="auto"/>
        </w:rPr>
      </w:pPr>
    </w:p>
    <w:p>
      <w:pPr>
        <w:ind w:left="340" w:right="20" w:hanging="332"/>
        <w:spacing w:after="0" w:line="284" w:lineRule="auto"/>
        <w:tabs>
          <w:tab w:leader="none" w:pos="340" w:val="left"/>
        </w:tabs>
        <w:numPr>
          <w:ilvl w:val="0"/>
          <w:numId w:val="40"/>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income (loss)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United States (“GAAP”).</w:t>
      </w:r>
    </w:p>
    <w:p>
      <w:pPr>
        <w:spacing w:after="0" w:line="160" w:lineRule="exact"/>
        <w:rPr>
          <w:rFonts w:ascii="Times New Roman" w:cs="Times New Roman" w:eastAsia="Times New Roman" w:hAnsi="Times New Roman"/>
          <w:sz w:val="17"/>
          <w:szCs w:val="17"/>
          <w:color w:val="231F20"/>
        </w:rPr>
      </w:pPr>
    </w:p>
    <w:p>
      <w:pPr>
        <w:jc w:val="both"/>
        <w:ind w:left="340" w:hanging="332"/>
        <w:spacing w:after="0" w:line="252" w:lineRule="auto"/>
        <w:tabs>
          <w:tab w:leader="none" w:pos="340" w:val="left"/>
        </w:tabs>
        <w:numPr>
          <w:ilvl w:val="0"/>
          <w:numId w:val="40"/>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We define Time Spent as the estimated total number of hours spent by users on (i) our owned &amp; operated US properties, (ii) our content on Apple News, and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There are inherent challenges in measuring the total actual number of hours spent with our content across all platforms; however, we consider the data reported by Comscore and Facebook to represent industry- 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year ended December 31, 2021 increased by 6% driven by the HuffPost Acquisition and the C Acquisition. Excluding the impact of the HuffPost Acquisition and the C Acquisition, Time Spent declined by 5% primarily due to the impact of COVID-19 during the comparable periods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80" w:hanging="321"/>
        <w:spacing w:after="0" w:line="25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&amp; operated sites and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media platforms. Advertising revenue is recognized in the period that the related views, impressions, or actions by users on advertisements are delivered. The substantial majority of our advertising revenue is monetized on a per-impression basis; however, we also generate revenue from advertising products that are not monetized on a per-impression basis (for example, page takeovers that are monetized on a per-day basis).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We generate an immaterial portion of our advertising revenue on platforms excluded from our measurement of Time Spent.</w:t>
      </w:r>
    </w:p>
    <w:p>
      <w:pPr>
        <w:spacing w:after="0" w:line="18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customer advertising and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Content revenue is recognized when the content, or the related action (click or view), is delivered.</w:t>
      </w:r>
    </w:p>
    <w:p>
      <w:pPr>
        <w:spacing w:after="0" w:line="158"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w:t>
      </w:r>
      <w:r>
        <w:rPr>
          <w:rFonts w:ascii="Times New Roman" w:cs="Times New Roman" w:eastAsia="Times New Roman" w:hAnsi="Times New Roman"/>
          <w:sz w:val="18"/>
          <w:szCs w:val="18"/>
          <w:color w:val="auto"/>
        </w:rPr>
        <w:t>Includes affiliate marketplace revenue and licensing of intellectual property. We participate in multiple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Consists primarily of compensation-related expenses and costs incurred for the creation of editorial,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promotional, and news content across all platforms, as well as amounts due to third-party websites and platforms to fulfill customers’ advertising campaigns. Web hosting and advertising serving platform costs are also included in cost of revenue.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include advertising costs and market research.</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facilities, professional services fees, insurance costs, and other general overhead costs.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to, and 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software costs.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(expense) income,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miscellaneous income and expenses.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highly liquid short-term investments.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Public Warrants listed on Nasdaq under the symbol “BZFDW.”</w:t>
      </w:r>
    </w:p>
    <w:p>
      <w:pPr>
        <w:sectPr>
          <w:pgSz w:w="11900" w:h="16838" w:orient="portrait"/>
          <w:cols w:equalWidth="0" w:num="1">
            <w:col w:w="9920"/>
          </w:cols>
          <w:pgMar w:left="980" w:top="513"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$150.0 million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convertible notes due 2026 that contain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disposition of subsidiaries: </w:t>
      </w:r>
      <w:r>
        <w:rPr>
          <w:rFonts w:ascii="Times New Roman" w:cs="Times New Roman" w:eastAsia="Times New Roman" w:hAnsi="Times New Roman"/>
          <w:sz w:val="18"/>
          <w:szCs w:val="18"/>
          <w:color w:val="auto"/>
        </w:rPr>
        <w:t>Represents the net losses recognized during 2021 on dispositions of certain 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HuffPost subsidiaries, and during 2020 on the disposition of our operations in Brazil.</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provision: </w:t>
      </w:r>
      <w:r>
        <w:rPr>
          <w:rFonts w:ascii="Times New Roman" w:cs="Times New Roman" w:eastAsia="Times New Roman" w:hAnsi="Times New Roman"/>
          <w:sz w:val="18"/>
          <w:szCs w:val="18"/>
          <w:color w:val="auto"/>
        </w:rPr>
        <w:t>Represents federal, state and local taxes based on income in multiple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years ended December 31, 2021, 2020 and 2019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 of operations data for each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11"/>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2020</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231F20"/>
              </w:rPr>
              <w:t>2019</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321,324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317,923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140,290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150,350</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Sales and marketing</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w w:val="96"/>
              </w:rPr>
              <w:t>50,680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79,845</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83,061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87,417</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24,928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w w:val="96"/>
              </w:rPr>
              <w:t>17,669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21,129</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17,486</w:t>
            </w: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19,450</w:t>
            </w:r>
          </w:p>
        </w:tc>
      </w:tr>
      <w:tr>
        <w:trPr>
          <w:trHeight w:val="20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422,718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231F20"/>
              </w:rPr>
              <w:t>309,186</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9"/>
              </w:rPr>
              <w:t>358,191</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income from operations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12,138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(40,268)</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(2,740)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1,593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1,598</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Interest (expense) income, net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(2,885)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231F20"/>
              </w:rPr>
              <w:t>(923)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26,745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Loss on disposition of subsidiaries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231F20"/>
              </w:rPr>
              <w:t>(711)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income before income taxes</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12,097</w:t>
            </w: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(37,277)</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Income tax (benefit) provision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941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(358)</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(loss)</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25,876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11,156</w:t>
            </w: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(36,919)</w:t>
            </w: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231F20"/>
                <w:w w:val="99"/>
              </w:rPr>
              <w:t>Net income attributable to the redeemable noncontrolling interest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820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273</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noncontrolling interests</w:t>
            </w: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231F20"/>
              </w:rPr>
              <w:t>Net income (loss) attributable to BuzzFeed, Inc.</w:t>
            </w:r>
          </w:p>
        </w:tc>
        <w:tc>
          <w:tcPr>
            <w:tcW w:w="5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24,712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w w:val="96"/>
              </w:rPr>
              <w:t>10,336</w:t>
            </w:r>
          </w:p>
        </w:tc>
        <w:tc>
          <w:tcPr>
            <w:tcW w:w="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(37,192)</w:t>
            </w:r>
          </w:p>
        </w:tc>
      </w:tr>
      <w:tr>
        <w:trPr>
          <w:trHeight w:val="426"/>
        </w:trPr>
        <w:tc>
          <w:tcPr>
            <w:tcW w:w="71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Costs and expenses include stock-based compensation expense as follows (in thousands):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4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2020</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231F20"/>
              </w:rPr>
              <w:t>2019</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1,446</w:t>
            </w: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896</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43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356</w:t>
            </w:r>
          </w:p>
        </w:tc>
      </w:tr>
      <w:tr>
        <w:trPr>
          <w:trHeight w:val="210"/>
        </w:trPr>
        <w:tc>
          <w:tcPr>
            <w:tcW w:w="4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231F20"/>
                <w:w w:val="70"/>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1,189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2,813</w:t>
            </w:r>
          </w:p>
        </w:tc>
      </w:tr>
      <w:tr>
        <w:trPr>
          <w:trHeight w:val="857"/>
        </w:trPr>
        <w:tc>
          <w:tcPr>
            <w:tcW w:w="4840" w:type="dxa"/>
            <w:vAlign w:val="bottom"/>
          </w:tcPr>
          <w:p>
            <w:pPr>
              <w:spacing w:after="0"/>
              <w:rPr>
                <w:sz w:val="24"/>
                <w:szCs w:val="24"/>
                <w:color w:val="auto"/>
              </w:rPr>
            </w:pP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47"/>
        </w:trPr>
        <w:tc>
          <w:tcPr>
            <w:tcW w:w="4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our consolidated statement of operations data for each of the periods presented as a percentage of revenue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1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231F20"/>
              </w:rPr>
              <w:t>2020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2019</w:t>
            </w:r>
          </w:p>
        </w:tc>
        <w:tc>
          <w:tcPr>
            <w:tcW w:w="140" w:type="dxa"/>
            <w:vAlign w:val="bottom"/>
            <w:tcBorders>
              <w:bottom w:val="single" w:sz="8" w:color="CCEEFF"/>
            </w:tcBorders>
          </w:tcPr>
          <w:p>
            <w:pPr>
              <w:spacing w:after="0"/>
              <w:rPr>
                <w:sz w:val="12"/>
                <w:szCs w:val="12"/>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44 %</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47 %</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Sales and marketing</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14 %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16 %</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25 %</w:t>
            </w: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26 %</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27 %</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6 %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5 %</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7 %</w:t>
            </w: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5 %</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6 %</w:t>
            </w:r>
          </w:p>
        </w:tc>
      </w:tr>
      <w:tr>
        <w:trPr>
          <w:trHeight w:val="21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106</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96</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income from operations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1 %</w:t>
            </w: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Interest (expense) income, net</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(1)%</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i w:val="1"/>
                <w:iCs w:val="1"/>
                <w:color w:val="231F20"/>
              </w:rPr>
              <w:t>—</w:t>
            </w:r>
          </w:p>
        </w:tc>
        <w:tc>
          <w:tcPr>
            <w:tcW w:w="6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1 %</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7 %</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i w:val="1"/>
                <w:iCs w:val="1"/>
                <w:color w:val="231F20"/>
              </w:rPr>
              <w:t>—</w:t>
            </w:r>
          </w:p>
        </w:tc>
        <w:tc>
          <w:tcPr>
            <w:tcW w:w="6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Loss on disposition of subsidiaries</w:t>
            </w: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(loss) before income taxes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(loss)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16"/>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noncontrolling interests</w:t>
            </w:r>
          </w:p>
        </w:tc>
        <w:tc>
          <w:tcPr>
            <w:tcW w:w="9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231F20"/>
              </w:rPr>
              <w:t>—</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i w:val="1"/>
                <w:iCs w:val="1"/>
                <w:color w:val="231F20"/>
              </w:rPr>
              <w:t>—</w:t>
            </w:r>
          </w:p>
        </w:tc>
        <w:tc>
          <w:tcPr>
            <w:tcW w:w="6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231F20"/>
              </w:rPr>
              <w:t>Net income (loss) attributable to BuzzFeed, Inc.</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r>
      <w:tr>
        <w:trPr>
          <w:trHeight w:val="20"/>
        </w:trPr>
        <w:tc>
          <w:tcPr>
            <w:tcW w:w="7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4"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16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$ 205,794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$ 149,704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$ 128,438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150,876</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$ 397,564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$ 321,324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$ 317,923</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Advertising revenue increased $56.1 million, or 37%, for the year ended December 31, 2021, driven by a $54.8 million, or 54%, increase in advertising on our owned and operated properties and a $1.3 million, or 3%, increase in advertising on third-party platforms. The increase in advertising revenues on our owned and operated properties reflects an 8% increase in the number of programmatic impressions delivered and a 20% increase in overall pricing. In addition, the acquisitions of HuffPost and Complex Networks contributed $24.7 million and $4.1 million of advertising revenue, respectively. The increase in advertising revenues from third-party platforms reflects a contribution of $2.0 million from the C Acquisition. Excluding the impact of Complex Networks, advertising revenue decreased reflecting a 16% decline in the number of programmatic impressions delivered, which was substantially offset by an 18% increase in overall pricing. In the fourth quarter of 2021, we experienced a decline in impressions delivered on third-party platforms primarily due to a decline in Facebook-related impressions which we expect will continue in 2022.</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Content revenue increased $10.4 million, or 9%, for the year ended December 31, 2021, driven by the acquisition of Complex Networks in the fourth quarter of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Commerce and other revenue increased by $9.8 million, or 19%, for the year ended December 31, 2021, primarily reflecting an increase in the number of purchases generated driven by the growth in online shopping. In the fourth quarter of 2021 we experienced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decrease in the number of purchases primarily due to a decline in Facebook referred traffic. We expect these headwinds to continue in 2022 and for these factors to negatively impact our Commerce revenue next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Advertising revenue increased by $21.3 million, or 17%, reflecting a 54% increase in the number of direct sold ad impressions and a 39% increase in programmatic impressions across our owned and operated properties, driven by the 7% increase in Time Spent on our owned and operated properties and a shift in customers’ spend from content to advertising and a 15% increase in overall pricing for programmatic advertising on Facebook, partially offset by an overall decrease in pricing for direct sold advertising of 10% and programmatic advertising of 24% across our owned and operated properties and YouTube reflecting downward pressure driven by the impact of the COVID-19 pandemic, and a 12% decrease in programmatic impressions on Facebook and YouTube, reflecting changes in their respective optimization strategies of these platforms.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Content revenue decreased by $31.0 million, or 21%, reflecting our shift in strategy to focus on the production of lower-cost content, as well as a shift in customers’ spend from content to advertising, largely in response to disruption from the COVID-19 pandemic.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Commerce and other revenue increased $13.2 million, or 34%, reflecting an increase in the number of orders generated driven by the growth in online shopping.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$ 207,397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$ 140,290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7"/>
              </w:rPr>
              <w:t>$ 150,350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52 %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44 %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47 %</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increased by $67.1 million, or 48%, primarily driven by increases in compensation costs of $30.0 million and increases in other cost of sales reflecting the growth in revenue. The increase in compensation costs was principally driven by $21.2 million related to the additional headcount associated with HuffPost, $3.2 million of severance costs incurred in Q1 2021 related to the restructuring of HuffPost, $2.7 million of stock-based compensation primarily associated with the cumulative catch-up adjustment recorded in Q4 2021 with respect to the Liquidity 2 RSUs, and $2.0 million related to the additional headcount associated with Complex Networks.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decreased by $10.1 million, or 7%, principally reflecting the change in mix of our revenues towards our higher margin Advertising and Commerce products, and a shift to the production of lower-cost content assets, as well as a $0.6 million net decrease in compensation costs related to the full-year impact of our 2019 restructuring and comparison against the $4.4 million restructuring charge in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decreases were partially offset by $8.7 million of additional costs related to a shift in our international headcount from sales and marketing to content production within cost of revenue as part of a shift in strategy to produce more localized content.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231F20"/>
              </w:rPr>
              <w:t>2020</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231F20"/>
              </w:rPr>
              <w:t>2019</w:t>
            </w: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 Change</w:t>
            </w:r>
          </w:p>
        </w:tc>
        <w:tc>
          <w:tcPr>
            <w:tcW w:w="11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 Change</w:t>
            </w:r>
          </w:p>
        </w:tc>
      </w:tr>
      <w:tr>
        <w:trPr>
          <w:trHeight w:val="209"/>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$ 54,981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$ 50,680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$ 79,845</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14 %</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16 %</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25 %</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$4.3 million, or 8%, principally reflecting a $4.0 million increase in compensation costs. The increase in compensation costs was primarily driven by $4.8 million of stock-based compensation primarily associated with the cumulative catch-up adjustment recorded in Q4 2021 with respect to the Liquidity 2 RSUs and $2.7 million related to the additional</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headcount associated with Complex Networks, partially offset by $3.5 million decrease in compensation driven by the savings from a workforce reduction during 2020. There was an additional $0.5 million decrease in events, travel and entertainment costs as we continued to operate in a remote working environment in 2021 in response to the COVID-19 pandemic.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decreased by $29.2 million, or 37%, principally reflecting a $9.7 million decrease in compensation costs primarily related to the unification of our sales organization and leadership team in 2020 and the full-year impact of our 2019 restructuring, and an $8.7 million reduction in costs related to a shift in our international headcount from sales and marketing to content production within cost of revenue as part of a shift in strategy to produce more localized content. The decrease also reflects a $4.3 million decrease in costs related to travel and entertainment and events as a result of COVID-19, a $2.5 million reduction in expenditures on consulting, and the comparison against the $1.6 million restructuring charge in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$ 112,552</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$ 83,061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$ 87,417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28 %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26 %</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27 %</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by $29.5 million, or 36%, principally reflecting a $19.8 million increase in compensation costs. The increase in compensation costs was primarily driven by $14.1 million of stock-based compensation primarily associated with the cumulative catch-up adjustment recorded in Q4 2021 with respect to the Liquidity 2 RSUs, $4.0 million attributable to additional headcount reflecting the growth of the business, including the acquisition of Complex Networks, and cross-departmental preparation for becoming a public company, and $1.8 million related to compensation increases for existing headcount. Additionally, there was a $14.3 million increase in expenses principally associated with the Business Combination which are non-recurring in nature, and $1.3 million of incremental fees associated with public company readiness to establish our public company structure and processes. This is partially offset by a $8.0 million decrease in rent expense reflecting the comparison against $3.5 million of costs incurred in Q3 2020 related to the early termination of a portion of our office space in Los Angeles and run-rate savings in rent expense as we reduced our real estate footprint.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$4.4 million, or 5%, principally reflecting a $3.7 million decrease in compensation costs, including $1.5 million related to headcount reduction and the comparison against the $2.2 million restructuring charge in 2019, and a $3.2 million decrease in employee meals, travel and entertainment, largely as a result of COVID-19. These decreases were partially offset by a $2.6 million increase in legal fees, primarily related to the HuffPost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$ 24,928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$ 17,669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$ 21,129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6 %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5 %</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7 %</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$7.3 million, or 41%, principally reflecting a $4.5 million increase in compensation expenses driven by $3.4 million increase in compensation costs due to a lower proportion of compensation related to capitalizable projects and increase in headcount associated with the HuffPost Acquisition, $0.9 million of stock-based compensation primarily associated with the cumulative catch-up adjustment recorded in Q4 2021 with respect to the Liquidity 2 RSUs, as well as increases in consulting costs of $2.2 million related to the integration of HuffPost. We expect research and development expenses to increase in the future as we continue to invest in our technology.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$3.5 million, or 16%, principally reflecting a $1.5 million decrease in compensation expense driven by a higher proportion of compensation costs related to capitalizable projects in 2020, and the comparison against the $1.4 million restructuring charge in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5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0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$ 22,860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$ 17,486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$ 19,450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231F2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231F2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231F20"/>
              </w:rPr>
              <w: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by $5.4 million, or 31%, as a result of $3.4 million of amortization of intangible assets associated with the HuffPost Acquisition and C Acquisition, as well as increased amortization of capitalized software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by $2.0 million, or 10%, principally reflecting lower expenditures on software development projects and fixed assets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5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0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1,593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1,598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 from other income, net of $1.6 million to other expense, net of $2.7 million principally reflects unrealized foreign exchange losses of $1.8 million in 2021 driven by unfavorable movements in exchange rates as opposed to unrealized foreign exchange gains of $1.2 million in 2020 as well as comparison against a non-recurring $0.5 million unrealized gain on remeasurement of our investment in a private company during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decreased by $nil, or 0%, primarily as a result of termination fees related to our secured borrowing facility in 2020, partially offset by an increase in foreign exchange gains.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5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(expense) income, net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(2,885)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NM</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231F20"/>
              </w:rPr>
              <w:t>NM</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change is primarily related to increased interest expense associated with our $150.0 million convertible notes due 2026 as well as other borrowings which were outstanding for all of 2021 as opposed to seven months in 2020.</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year ended December 31, 2019 experienced interest income due to the sale of highly liquid short-term investments whereas the year ended December 31, 2020 experienced interest expense associated with our financings.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2021, we recorded a $4.7 million gain on the change in fair value of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recorded a gain of $26.7 million due to a change in the estimated fair value of the derivative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disposition of subsidiaries: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4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on disposition of subsidiaries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2021 activity is primarily related to losses related to the dispositions of our former subsidiaries, HuffingtonPost Korea,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HuffingtonPost Italia S.R.L., partially offset by a gain on disposition related to our former subsidiary, Le HuffingtonPost SAS.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2020 activity is related to loss related to the disposition of our operations </w:t>
      </w:r>
      <w:r>
        <w:rPr>
          <w:rFonts w:ascii="Times New Roman" w:cs="Times New Roman" w:eastAsia="Times New Roman" w:hAnsi="Times New Roman"/>
          <w:sz w:val="18"/>
          <w:szCs w:val="18"/>
          <w:color w:val="231F20"/>
        </w:rPr>
        <w:t>in Brazil.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 provision: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 to 2020</w:t>
            </w:r>
          </w:p>
        </w:tc>
      </w:tr>
      <w:tr>
        <w:trPr>
          <w:trHeight w:val="142"/>
        </w:trPr>
        <w:tc>
          <w:tcPr>
            <w:tcW w:w="5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(benefit) provision</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(26,404)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Company recorded an income tax benefit of $26.4 million related to federal, state, and foreign taxes. The Company’s effective tax rate of 5,000.8% differs from the statutory rate of 21% primarily related to (i) the partial release of the Company’s U.S. valuation allowance as certain business combinations consummated during 2021 created a source of future taxable income, offset by (ii) an income tax provision for foreign taxes.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recorded an income tax provision of $0.9 million related to federal, state, and foreign taxes. The Company’s effective tax rate of 7.8% differed from the U.S. federal statutory income tax rate of 21% primarily due to a valuation allowance against net deferred tax assets that were not realizable on a more-likely-than-not basis.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recorded an income tax provision of $0.9 million related to federal, state, and foreign taxes. The Company’s effective tax rate of 7.8% differed from the U.S. federal statutory income tax rate of 21% primarily due to a valuation allowance against net deferred tax assets that were not realizable on a more-likely-than-not basis.</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Company recorded an income tax benefit of $0.4 million related to federal, state, and foreign taxes. The Company’s effective tax rate of 1.0% differed from the U.S. federal statutory income tax rate of 21% primarily due to a valuation allowance against net deferred tax assets that were not realizable on a more-likely-than-not basis.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from an income tax benefit of $0.4 million in 2019 to an income tax provision of $0.9 million in 2020 was primarily driven by the generation of net income in 2020 as compared to net loss incurred in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income (loss), excluding the impact of net income (loss) attributable to noncontrolling interests, income tax provision (benefit), interest expense, interest income, other income, net, depreciation and amortization, stock-based compensation, change in fair value of warrant liabilities, change in fair value of derivative liability, restructuring costs, public company readiness costs, and other non-cash and non-recurring items that management believes are not indicative of ongoing operations.</w:t>
      </w:r>
    </w:p>
    <w:p>
      <w:pPr>
        <w:spacing w:after="0" w:line="18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We believe Adjusted EBITDA is relevant and useful information for investors because it allows investors to view performance in a manner similar to the method used by our management. There are limitations to use of Adjusted EBITDA and our Adjusted EBITDA may not be comparable to similarly titled measures of other companies. Other companies, including companies in our industry, may calculate non- GAAP financial measures differently than we do, limiting the usefulness of those measures for comparative purposes.</w:t>
      </w:r>
    </w:p>
    <w:p>
      <w:pPr>
        <w:spacing w:after="0" w:line="16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a substitute for income (loss) from operations, net income (loss), or net income (loss) attributable to BuzzFeed, Inc. that we have reported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(loss)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income (loss) to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subsidiaries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Public company readiness costs</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318"/>
        </w:trPr>
        <w:tc>
          <w:tcPr>
            <w:tcW w:w="248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7" w:lineRule="auto"/>
        <w:tabs>
          <w:tab w:leader="none" w:pos="340" w:val="left"/>
        </w:tabs>
        <w:numPr>
          <w:ilvl w:val="0"/>
          <w:numId w:val="43"/>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For the year ended December 31, 2021, reflects costs associated with involuntary terminations of employees across various roles and levels as part of the integration of the HuffPost Acquisition. For 2019, reflects costs associated with involuntary terminations of employees across various roles and levels in an effort to better position us to execute on our strategy.</w:t>
      </w:r>
    </w:p>
    <w:p>
      <w:pPr>
        <w:spacing w:after="0" w:line="1" w:lineRule="exact"/>
        <w:rPr>
          <w:rFonts w:ascii="Times New Roman" w:cs="Times New Roman" w:eastAsia="Times New Roman" w:hAnsi="Times New Roman"/>
          <w:sz w:val="17"/>
          <w:szCs w:val="17"/>
          <w:color w:val="231F20"/>
        </w:rPr>
      </w:pPr>
    </w:p>
    <w:p>
      <w:pPr>
        <w:ind w:left="340" w:right="20" w:hanging="332"/>
        <w:spacing w:after="0" w:line="250" w:lineRule="auto"/>
        <w:tabs>
          <w:tab w:leader="none" w:pos="340" w:val="left"/>
        </w:tabs>
        <w:numPr>
          <w:ilvl w:val="0"/>
          <w:numId w:val="43"/>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Reflects $15.3 million of one-time legal, advisory, consulting and incremental compensation expenses associated with the Business Combination.</w:t>
      </w:r>
    </w:p>
    <w:p>
      <w:pPr>
        <w:ind w:left="340" w:hanging="332"/>
        <w:spacing w:after="0" w:line="260" w:lineRule="auto"/>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Reflects $1.3 million of public company readiness costs associated with the establishment of our public company structure and processes.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borrowings under our Revolving Credit Facility (as defined below), as well as cash generated from operations. Our cash and cash equivalents consist of demand deposits with financial institutions and investments in money market funds and totaled $79.7 million at December 31, 2021.</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operating cash flows, together with cash and cash equivalents on hand and amounts available for borrowing under our revolving credit facility, will be sufficient to meet our working capital and capital expenditure requirements for at least the next 12 months. To the extent existing cash, operating cash flows, and amounts available for borrowing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There can be no assurances that we will be able to raise additional capital. The inability to raise capital could adversely affect our ability to achieve our business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$50.0 million revolving credit facility (“Revolving Credit Facility”), maturing in December 2023. Borrowings under the Revolving Credit Facility are generally limited to 95% of qualifying investment grade accounts receivable and 90% of qualifying non-investment grade accounts receivable, subject to adjustment at the discretion of the lenders. Borrowings under the Revolving Credit Facility bear interest at LIBOR, subject to a floor rate of 0.75%, plus a margin of 3.75% to 4.25%, depending on the level of our utilization of the Revolving Credit Facility. The Revolving Credit Facility is subject to a monthly minimum utilization of $15.0 million and also includes an unused commitment fee of 0.375%. The Revolving Credit Facility was amended and restated in connection with the closing of the Business Combination, namely to, among other things, add the Company and certain other entities as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letters of credit totaling $15.5 million were issued under the Revolving Credit Facility which reduced the remaining borrowing capacity by the same amount. These letters of credit were issued in favor of our landlords, relieving us of the requirement to maintain $15.5 million of cash as collateral. As a result, the $15.5 million of restricted cash as of December 31, 2020 is no longer restricted.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Facility includes covenants that, among other things, require us to maintain at least $25.0 million of unrestricted cash at all times and limit our ability to incur additional indebtedness, grant liens, pay dividends, hold unpermitted investments, repurchase or redeem equity interests or make material changes to the business. We were in compliance with the financial covenant as of December 31, 2021.</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we had outstanding borrowings under the Revolving Credit Facility of $28.5 million and remaining borrowing capacity of $5.4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completed the issuance of $150.0 million of unsecured convertible notes, due 2026 (the “Notes”). The Notes bear interest at a rate of 8.50% per annum, payable semi-annually. The Notes are convertible into</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12,000,000 shares of our Class A common stock at an initial conversion price of $12.50 and mature on December 3, 2026.</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the third anniversary of the issuance of the Notes, subject to a holder’s prior right to convert and certain other conditions, if the volume-weighted average trading price of our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we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of a Note will have the right to cause us to repurchase for cash all or a portion of the Notes held by such holder</w:t>
      </w:r>
    </w:p>
    <w:p>
      <w:pPr>
        <w:spacing w:after="0" w:line="27" w:lineRule="exact"/>
        <w:rPr>
          <w:sz w:val="20"/>
          <w:szCs w:val="20"/>
          <w:color w:val="auto"/>
        </w:rPr>
      </w:pPr>
    </w:p>
    <w:p>
      <w:pPr>
        <w:jc w:val="both"/>
        <w:ind w:firstLine="8"/>
        <w:spacing w:after="0" w:line="255" w:lineRule="auto"/>
        <w:tabs>
          <w:tab w:leader="none" w:pos="2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category were as follows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16,363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net cash provided by operating activities decreased by $26.8 million compared to the year ended December 31, 2020. The decrease in cash provided by operating activities was primarily driven by the impact of expenditures of $12.4 million on capitalized production costs related to three feature films and $11.2 million of expenditures on costs associated with the C Acquisition and preparation to become a public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net cash provided by operating activities was $27.6 million, an increase of $47.8 million compared to the year ended December 31, 2019, which was principally driven by net income adjusted for non-cash items of $28.7 million for the year ended December 31, 2020, as compared to a net loss adjusted for non-cash items of $15.4 million for the year ended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cash used in investing activities was $208.0 million, which consists of $189.9 million of cash spent for business acquisitions, net of cash acquired, $11.0 million of expenditures on internal-use software and $5.0 million of capital expenditures.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cash used in investing activities was $14.8 million, which principally consisted of expenditures on internal-use software of $9.8 million and fixed assets of $4.7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cash provided by investing activities was $16.4 million which principally consisted of proceeds from sales and maturities of marketable securities of $25.0 million, partially offset by expenditures on internal-use software of $8.2 million. Prior to 2019, we invested excess cash from a prior issuance of preferred stock in U.S. Treasury Bills. However, we curtailed this practice and the last maturities of securities purchased under this program occurred during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cash provided by financing activities was $181.8 million, principally consisting of $143.8 million of net proceeds from the issuance of the Notes, $35.0 million of proceeds from the issuance of common stock related to the equity investment in us by an affiliate of Verizon, $7.7 million of borrowings in excess of repayments from our Revolving Credit Facility, and $7.0 million of proceeds from exercise of stock options, partially offset by $11.7 million of proceeds from the reverse recapitalization, net of costs.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cash provided by financing activities was $19.5 million, consisting of $19.9 million of borrowings under our Revolving Credit Facility, which was established during 2020, partially offset by the impact of a $0.6 million early termination fee paid in connection with the extinguishment of our previous secured borrowing facility.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2019, cash provided by financing activities was limited to proceeds from the exercise of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obligations for office space under non-cancelable operating leases with various expiration dates through 2029 as well as repayment of borrowings under our Revolving Credit Facility and Notes. Refer to Note 17 - Commitments and Contingencies in our consolidated financial statements included elsewhere in this Annual Report on Form 10-K for more details.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December 31, 2021, the maximum amount under the guarantee was $2.7 million, and no liability was recognized with respect to the guarantee.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consolidated financial statements. Our significant accounting policies are described in Note 2 to our consolidated financial statements included elsewhere in this Annual Report on Form 10-K. Our critical accounting policies and estimates are discussed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in a manner that depicts the transfer of promised goods or services to customers in an amount that reflects the consideration to which the entity expects to be entitled in exchange for those goods or services.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advertising revenue from managing a customer’s internet advertising campaigns to target markets both via our proprietary sites as well as premium publishers.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We derive a portion of our revenue from sales of advertising programmatically through third party platforms and intermediaries. Given the involvement of multiple parties in these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significant judgment is required in identifying our customer and determining the transaction price. In some cases, we are unable to determine the transaction price paid by the end customer. In these cases, we recognize as revenue the net amount remitted to us by the intermediary.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from creating content, including promotional content and customer advertising. Our performance obligations consist of BuzzFeed-created content for use by its customers or the delivery of a promised number of actions related to the content (impressions or views). The revenue is recognized when the content, or the related action, is delivered.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participate in multiple 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parties. The revenue is recognized when a successful sale is made and the commission is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acquisition of a company, we determine if the transaction is a business combination, which is accounted for using the acquisition method of accounting. Under the acquisition method, once control is obtained of a business, the assets acquired, and liabilities assumed, including amounts attributed to noncontrolling interests,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including estimates of, among other things, future expected cash flows, discount rates, or expected costs to reproduce an asset.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multiple foreign jurisdictions. Significant judgment is required in determining our provision (benefit) and evaluating our income tax positions.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that the tax position will be sustained on examination by the taxing authorities, based on the technical merits of the position.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made a policy election to treat the income tax due on U.S. inclusion of the global intangible low taxed income (“GILTI”) provisions as a period expense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based awards granted are measured based on the grant-date fair value.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options granted is estimated using the Black-Scholes option pricing model. The risk-free rate for the expected term of the option is based on the U.S. Treasury yield curve in effect at the time of grant. Because our common stock was not publicly traded prior to the Business Combination, we have historically estimated the expected volatility of our awards from the historical volatility of selected public companies within similar industries with comparable characteristics to us. We intend to continue to consistently apply this process using the same or similar companies to estimate the expected volatility until sufficient historical information regarding the volatility of the share price of our common stock becomes available. The expected dividend rate is zero based on the fact that we currently have no history or expectation of paying cash dividends on our common stock.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We use the “simplified method” due to the lack of sufficient historical exercise data to provide a reasonable basis upon which to otherwise estimate the expected term of the stock options.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restricted stock units granted prior to the Business Combination vest upon the satisfaction of both a service condition and a liquidity condition. The liquidity condition for 2.5 million restricted stock units is satisfied upon the occurrence of a sale transaction (“Acquisition”) or the completion of an initial public offering. The Two-Step Merger did not result in the satisfaction of this liquidity condition as it did not meet the definition of an Acquisition per the award agreements. As of December 31, 2021, there was approximately $21.2 million of unrecognized compensation costs related to these restricted stock units. The closing of the Two-Step Merger satisfied the liquidity condition in 2.7 million restricted stock units. As a result, $16.0 million of compensation cost associated with service rendered prior to the Two-Step Merger was recognized at upon the closing of the Two-Step Merger and compensation cost will be recognized over the remaining requisite service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Valuations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common stock was not publicly traded, the fair value of our common stock prior to the Business Combination was determined by our board of directors, with input from management, taking into account the value determined by a third-party valuation firm. Our board of directors intended all stock options granted to have an exercise price per share not less than the per share fair value of our common stock on the date of grant. The assumptions we used in the valuation models were based on future expectations combined with management judgment, and considered numerous objective and subjective factors to determine the fair value of our common stock as of the date of each option grant, including the following:</w:t>
      </w:r>
    </w:p>
    <w:p>
      <w:pPr>
        <w:spacing w:after="0" w:line="187" w:lineRule="exact"/>
        <w:rPr>
          <w:sz w:val="20"/>
          <w:szCs w:val="20"/>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 forecasted operating results, capital structure and stage of development;</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team and business strategy;</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external market factors affecting our industry;</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liquidation preferences, rights, preferences, and privileges of our convertible preferred stock relative to our common stock;</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lack of an active public or private market for our common stock;</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likelihood of achieving a liquidity event, such as a sale transaction or an initial public offering; and</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performance analyses of similar publicly-traded companies in our industry.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valuing our common stock at various dates, our board of directors determined the equity value of our business using various valuation methods including combinations of income and market approaches with input from management.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 management’s best estimates, which involve inherent uncertainties and the application of management judgment. After consummation of the Business Combination, the fair value of our common stock is now determined based on its quoted market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which is an operating segment, or one level below. We test goodwill for impairment annually on October 1, or more frequently if an event occurs or if circumstances change that would more likely than not reduce the fair value of our reporting unit below its carrying value. We have determined we have one reporting unit for the purposes of allocating and testing goodwill.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2021 annual impairment test, we performed a qualitative assessment. The assessment included, but was not limited to, consideration of macroeconomic conditions, industry and market conditions, actual and expected financial performance, and the valuation ascribed to the company in the Business Combination. Based on the qualitative assessment, considering the aggregation of the relevant factors, we concluded that it is not more likely than not that the fair value of our reporting unit is less than its carrying amount and therefore performing a quantitative impairment test was unnecessary.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quantitative goodwill impairment test, when performed, includes estimating the fair value of a reporting unit using an income approach based on a discounted cash flow analysis and/or a market-based approach. A discounted cash flow analysis requires us to make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judgmental assumptions, including assumptions about the timing and amount of future cash flows, growth rates and discount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review our property and equipment and capitalized software costs for impairment whenever events or changes in circumstances indicate that the carrying amount of such assets may not be recoverable. If circumstances require a long-lived asset group to be tested for possible impairment, we first compare undiscounted cash flows expected to be generated by the asset to its carrying value. If the carrying value of the long-lived asset is not recoverable on an undiscounted cash flow basis, an impairment is recognized to the extent the carrying value exceeds its fair value. Fair value is determined through various valuation techniques which may include discounted cash flow models, quoted market values and third-party independent appraisals, as considered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derivative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recognized a derivative liability related to the Notes. To measure the fair value of the derivative liability, we compare the calculated value of the Notes with the indicated value of the host instrument, defined as the straight-debt component of the Notes. The difference between the value of the straight-debt host instrument and the fair value of the Notes results in the value of the derivative liability. The value of the straight-debt host instrument is estimated based on a binomial lattice model, excluding the conversion option and the make-whole payment upon conversion. Significant assumptions are used in the valuation of the derivative liability, including the expected volatility of our stock price, expected term of the debt, and expected risk-free interest rate. The assumptions used in computing the fair value of the derivative liability reflect our best estimates, but involve uncertainty relating to market and other conditions, many of which are outside of our control. Changes in these assumptions, including the price of our Class A common stock, may materially impact the fair value of the derivative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our consolidated financial statements included elsewhere in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JOBS Act provides that an emerging growth company can take advantage of the extended transition period provided in Section 7(a)(2)(B) of the Securities Act for complying with new or revised accounting standards. We are an emerging growth company and have elected to take advantage of the extended transition period. As a result, the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(ii) the last date of our fiscal year in which we have total annual gross revenue of at least $1.07 billion, (iii) the date on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risks in the ordinary course of our business. These risks include primarily foreign currency exchange, interest rate fluctuation and equity investment risks.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a strengthening of the U.S. dollar, would negatively affect our revenue and results of operations as expressed in U.S. dollars. The Company does not enter into foreign currency forward exchange contracts or other derivative financial instruments to hedge the effects of adverse fluctuations in foreign currency exchange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rates relates primarily to the variable interest component on our Revolving Credit Facility as well as interest earned and market value on money market funds included in our cash and cash equivalents. These exposures were not material for the years ended December 31, 2021 and 2020, but may become material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$2.3 million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320" w:type="dxa"/>
            <w:vAlign w:val="bottom"/>
            <w:gridSpan w:val="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4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77"/>
        </w:trPr>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40" w:type="dxa"/>
            <w:vAlign w:val="bottom"/>
          </w:tcPr>
          <w:p>
            <w:pPr>
              <w:spacing w:after="0"/>
              <w:rPr>
                <w:sz w:val="24"/>
                <w:szCs w:val="24"/>
                <w:color w:val="auto"/>
              </w:rPr>
            </w:pPr>
          </w:p>
        </w:tc>
      </w:tr>
      <w:tr>
        <w:trPr>
          <w:trHeight w:val="392"/>
        </w:trPr>
        <w:tc>
          <w:tcPr>
            <w:tcW w:w="8320" w:type="dxa"/>
            <w:vAlign w:val="bottom"/>
            <w:gridSpan w:val="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No.34)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Consolidated Balance Sheets</w:t>
              </w:r>
            </w:hyperlink>
          </w:p>
        </w:tc>
        <w:tc>
          <w:tcPr>
            <w:tcW w:w="2140" w:type="dxa"/>
            <w:vAlign w:val="bottom"/>
            <w:tcBorders>
              <w:top w:val="single" w:sz="8" w:color="0000EE"/>
            </w:tcBorders>
            <w:gridSpan w:val="4"/>
          </w:tcPr>
          <w:p>
            <w:pPr>
              <w:spacing w:after="0"/>
              <w:rPr>
                <w:sz w:val="17"/>
                <w:szCs w:val="17"/>
                <w:color w:val="auto"/>
              </w:rPr>
            </w:pPr>
          </w:p>
        </w:tc>
        <w:tc>
          <w:tcPr>
            <w:tcW w:w="408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Consolidated Statement of Operations Consolidated Statements of Comprehensive Income (Loss)</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0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Stockholders’ Equity (Deficit)</w:t>
              </w:r>
            </w:hyperlink>
          </w:p>
        </w:tc>
        <w:tc>
          <w:tcPr>
            <w:tcW w:w="12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42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 of Cash Flows</w:t>
              </w:r>
            </w:hyperlink>
          </w:p>
        </w:tc>
        <w:tc>
          <w:tcPr>
            <w:tcW w:w="410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Notes to Consolidated Financial Statements</w:t>
              </w:r>
            </w:hyperlink>
          </w:p>
        </w:tc>
        <w:tc>
          <w:tcPr>
            <w:tcW w:w="51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00" w:right="11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BuzzFeed,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BuzzFeed, Inc. and subsidiaries (the “Company”) as of December 31, 2021 and 2020, the related consolidated statements of operations and comprehensive income (loss),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BUZZFEED, INC.</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 thousands, except per share amounts</w:t>
      </w:r>
      <w:r>
        <w:rPr>
          <w:rFonts w:ascii="Times New Roman" w:cs="Times New Roman" w:eastAsia="Times New Roman" w:hAnsi="Times New Roman"/>
          <w:sz w:val="13"/>
          <w:szCs w:val="13"/>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36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79,733</w:t>
            </w: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0"/>
                <w:szCs w:val="10"/>
                <w:color w:val="auto"/>
                <w:w w:val="79"/>
              </w:rPr>
              <w:t>$</w:t>
            </w: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90,626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4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3"/>
                <w:szCs w:val="13"/>
                <w:color w:val="231F20"/>
              </w:rPr>
              <w:t>Accounts receivable (net of allowance for doubtful accounts of $1,094, and $1,387 as at December 31, 2021</w:t>
            </w:r>
          </w:p>
        </w:tc>
        <w:tc>
          <w:tcPr>
            <w:tcW w:w="1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231F20"/>
              </w:rPr>
              <w:t>and 2020)</w:t>
            </w:r>
          </w:p>
        </w:tc>
        <w:tc>
          <w:tcPr>
            <w:tcW w:w="1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142,909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current assets</w:t>
            </w:r>
          </w:p>
        </w:tc>
        <w:tc>
          <w:tcPr>
            <w:tcW w:w="13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29,017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3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251,659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3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Capitalized software costs, net</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16,554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231F20"/>
              </w:rPr>
              <w:t>Intangible assets, net</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136,513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Goodwill</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194,881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Borders>
              <w:bottom w:val="single" w:sz="8" w:color="CCEEFF"/>
            </w:tcBorders>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assets</w:t>
            </w:r>
          </w:p>
        </w:tc>
        <w:tc>
          <w:tcPr>
            <w:tcW w:w="1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14,555</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11,698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tcBorders>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360" w:type="dxa"/>
            <w:vAlign w:val="bottom"/>
            <w:tcBorders>
              <w:bottom w:val="single" w:sz="8" w:color="auto"/>
            </w:tcBorders>
            <w:shd w:val="clear" w:color="auto" w:fill="CCEEFF"/>
          </w:tcPr>
          <w:p>
            <w:pPr>
              <w:jc w:val="right"/>
              <w:ind w:right="12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36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16,025</w:t>
            </w: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0"/>
                <w:szCs w:val="10"/>
                <w:color w:val="auto"/>
                <w:w w:val="79"/>
              </w:rPr>
              <w:t>$</w:t>
            </w: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compensation</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37,434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Borders>
              <w:bottom w:val="single" w:sz="8" w:color="CCEEFF"/>
            </w:tcBorders>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1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2,731</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94,146</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141,878</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231F20"/>
              </w:rPr>
              <w:t>Derivative liability</w:t>
            </w:r>
          </w:p>
        </w:tc>
        <w:tc>
          <w:tcPr>
            <w:tcW w:w="13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Warrant liabilities</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4,938</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Borders>
              <w:bottom w:val="single" w:sz="8" w:color="CCEEFF"/>
            </w:tcBorders>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3,992</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1,633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262,333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97,310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231F20"/>
              </w:rPr>
              <w:t>Series A, convertible preferred stock, $0.001 par value; no shares authorized, issued or outstanding at</w:t>
            </w:r>
          </w:p>
        </w:tc>
        <w:tc>
          <w:tcPr>
            <w:tcW w:w="1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10,710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231F20"/>
              </w:rPr>
              <w:t>Series A-1, convertible preferred stock, $0.001 par value; no shares authorized, issued or outstanding at</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11,630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231F20"/>
              </w:rPr>
              <w:t>Series B, convertible preferred stock, $0.001 par value; no shares authorized, issued or outstanding at</w:t>
            </w:r>
          </w:p>
        </w:tc>
        <w:tc>
          <w:tcPr>
            <w:tcW w:w="1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13,468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231F20"/>
              </w:rPr>
              <w:t>Series C, convertible preferred stock, $0.001 par value; no shares authorized, issued or outstanding at</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15,375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231F20"/>
              </w:rPr>
              <w:t>Series D, convertible preferred stock, $0.001 par value; no shares authorized, issued or outstanding at</w:t>
            </w:r>
          </w:p>
        </w:tc>
        <w:tc>
          <w:tcPr>
            <w:tcW w:w="1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7,383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231F20"/>
              </w:rPr>
              <w:t>Series E, convertible preferred stock, $0.001 par value; no shares authorized, issued or outstanding at</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4,914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231F20"/>
              </w:rPr>
              <w:t>Series F, convertible preferred stock, $0.001 par value; no shares authorized, issued or outstanding at December</w:t>
            </w:r>
          </w:p>
        </w:tc>
        <w:tc>
          <w:tcPr>
            <w:tcW w:w="1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3"/>
                <w:szCs w:val="13"/>
                <w:color w:val="231F20"/>
              </w:rPr>
              <w:t>31, 2021; 15,440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231F20"/>
              </w:rPr>
              <w:t>Series G, convertible preferred stock, $0.001 par value; no shares authorized, issued or outstanding at</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3"/>
                <w:szCs w:val="13"/>
                <w:color w:val="231F20"/>
              </w:rPr>
              <w:t>December 31, 2021; 15,440 shares authorized, issued and outstanding at December 31, 2020</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color w:val="231F20"/>
              </w:rPr>
              <w:t>Class A Common stock, $0.0001 par value; 700,000 shares authorized; 116,175 and 1,540 shares issued and</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3"/>
                <w:szCs w:val="13"/>
                <w:color w:val="231F20"/>
              </w:rPr>
              <w:t>outstanding at December 31, 2021 and 2020, respectively</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shd w:val="clear" w:color="auto" w:fill="CCEEFF"/>
          </w:tcPr>
          <w:p>
            <w:pPr>
              <w:ind w:left="100"/>
              <w:spacing w:after="0" w:line="109" w:lineRule="exact"/>
              <w:rPr>
                <w:sz w:val="20"/>
                <w:szCs w:val="20"/>
                <w:color w:val="auto"/>
              </w:rPr>
            </w:pPr>
            <w:r>
              <w:rPr>
                <w:rFonts w:ascii="Times New Roman" w:cs="Times New Roman" w:eastAsia="Times New Roman" w:hAnsi="Times New Roman"/>
                <w:sz w:val="12"/>
                <w:szCs w:val="12"/>
                <w:color w:val="231F20"/>
              </w:rPr>
              <w:t>Class B Common stock, $0.0001 par value; 20,000 shares authorized; 12,397 and 10,439 shares issued and</w:t>
            </w:r>
          </w:p>
        </w:tc>
        <w:tc>
          <w:tcPr>
            <w:tcW w:w="1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3"/>
                <w:szCs w:val="13"/>
                <w:color w:val="231F20"/>
              </w:rPr>
              <w:t>outstanding at December 31, 2021 and 2020, respectively</w:t>
            </w:r>
            <w:r>
              <w:rPr>
                <w:rFonts w:ascii="Times New Roman" w:cs="Times New Roman" w:eastAsia="Times New Roman" w:hAnsi="Times New Roman"/>
                <w:sz w:val="18"/>
                <w:szCs w:val="18"/>
                <w:color w:val="231F20"/>
                <w:vertAlign w:val="superscript"/>
              </w:rPr>
              <w:t>(1)</w:t>
            </w:r>
          </w:p>
        </w:tc>
        <w:tc>
          <w:tcPr>
            <w:tcW w:w="13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color w:val="231F20"/>
              </w:rPr>
              <w:t>Class C Common stock, $0.0001 par value; 10,000 shares authorized; 6,478 and no shares issued and</w:t>
            </w: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3"/>
                <w:szCs w:val="13"/>
                <w:color w:val="231F20"/>
              </w:rPr>
              <w:t>outstanding at December 31, 2021 and 2020, respectively</w:t>
            </w:r>
            <w:r>
              <w:rPr>
                <w:rFonts w:ascii="Times New Roman" w:cs="Times New Roman" w:eastAsia="Times New Roman" w:hAnsi="Times New Roman"/>
                <w:sz w:val="18"/>
                <w:szCs w:val="18"/>
                <w:color w:val="231F20"/>
                <w:vertAlign w:val="superscript"/>
              </w:rPr>
              <w:t>(1)</w:t>
            </w:r>
          </w:p>
        </w:tc>
        <w:tc>
          <w:tcPr>
            <w:tcW w:w="1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695,869</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36,373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3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(3,233)</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3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(322,106)</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(346,818)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231F20"/>
              </w:rPr>
              <w:t>Treasury stock, no shares at December 31, 2021 and 2020, respectively</w:t>
            </w:r>
            <w:r>
              <w:rPr>
                <w:rFonts w:ascii="Times New Roman" w:cs="Times New Roman" w:eastAsia="Times New Roman" w:hAnsi="Times New Roman"/>
                <w:sz w:val="15"/>
                <w:szCs w:val="15"/>
                <w:color w:val="231F20"/>
                <w:vertAlign w:val="superscript"/>
              </w:rPr>
              <w:t>(1)</w:t>
            </w:r>
          </w:p>
        </w:tc>
        <w:tc>
          <w:tcPr>
            <w:tcW w:w="13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Total BuzzFeed, Inc. stockholders’ equity (deficit)</w:t>
            </w:r>
          </w:p>
        </w:tc>
        <w:tc>
          <w:tcPr>
            <w:tcW w:w="13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370,543</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1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(313,803)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40" w:type="dxa"/>
            <w:vAlign w:val="bottom"/>
            <w:tcBorders>
              <w:bottom w:val="single" w:sz="8" w:color="CCEEFF"/>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231F20"/>
              </w:rPr>
              <w:t>Noncontrolling interests</w:t>
            </w:r>
          </w:p>
        </w:tc>
        <w:tc>
          <w:tcPr>
            <w:tcW w:w="1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2,044</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Total stockholders’ equity (deficit)</w:t>
            </w:r>
          </w:p>
        </w:tc>
        <w:tc>
          <w:tcPr>
            <w:tcW w:w="13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372,587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(313,803)</w:t>
            </w:r>
          </w:p>
        </w:tc>
        <w:tc>
          <w:tcPr>
            <w:tcW w:w="0" w:type="dxa"/>
            <w:vAlign w:val="bottom"/>
          </w:tcPr>
          <w:p>
            <w:pPr>
              <w:spacing w:after="0"/>
              <w:rPr>
                <w:sz w:val="1"/>
                <w:szCs w:val="1"/>
                <w:color w:val="auto"/>
              </w:rPr>
            </w:pPr>
          </w:p>
        </w:tc>
      </w:tr>
      <w:tr>
        <w:trPr>
          <w:trHeight w:val="128"/>
        </w:trPr>
        <w:tc>
          <w:tcPr>
            <w:tcW w:w="586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36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outstanding for all periods reflect the adjustment for the Reverse Recapitalization.</w:t>
      </w:r>
    </w:p>
    <w:p>
      <w:pPr>
        <w:spacing w:after="0" w:line="9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317,923</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150,350</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79,845</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87,417</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21,129</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0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422,718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309,186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358,191</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(40,268)</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Interest (expense) income,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disposition of subsidiaries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Income tax (benefit) provision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(26,404)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the redeemable noncontrolling interest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231F20"/>
              </w:rPr>
              <w:t>Net income attributable to noncontrolling interests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BuzzFeed, Inc.</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(37,192)</w:t>
            </w:r>
          </w:p>
        </w:tc>
      </w:tr>
      <w:tr>
        <w:trPr>
          <w:trHeight w:val="197"/>
        </w:trPr>
        <w:tc>
          <w:tcPr>
            <w:tcW w:w="6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Net income (loss) attributable to holders of Class A, Class B and Class C common stock:</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(37,192)</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Class A, Class B and Class C common share: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(36,919)</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(36,056)</w:t>
            </w: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the redeemable noncontrolling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BuzzFeed, Inc.</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(36,329)</w:t>
            </w: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of BuzzFeed, Inc.</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BuzzFeed, Inc.</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Class B Common</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7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Noncontrol</w:t>
            </w:r>
          </w:p>
        </w:tc>
        <w:tc>
          <w:tcPr>
            <w:tcW w:w="80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Stockholders’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3"/>
                <w:szCs w:val="13"/>
                <w:color w:val="auto"/>
              </w:rPr>
            </w:pPr>
          </w:p>
        </w:tc>
        <w:tc>
          <w:tcPr>
            <w:tcW w:w="1440" w:type="dxa"/>
            <w:vAlign w:val="bottom"/>
            <w:gridSpan w:val="7"/>
          </w:tcPr>
          <w:p>
            <w:pPr>
              <w:ind w:left="140"/>
              <w:spacing w:after="0"/>
              <w:rPr>
                <w:sz w:val="20"/>
                <w:szCs w:val="20"/>
                <w:color w:val="auto"/>
              </w:rPr>
            </w:pPr>
            <w:r>
              <w:rPr>
                <w:rFonts w:ascii="Times New Roman" w:cs="Times New Roman" w:eastAsia="Times New Roman" w:hAnsi="Times New Roman"/>
                <w:sz w:val="13"/>
                <w:szCs w:val="13"/>
                <w:b w:val="1"/>
                <w:bCs w:val="1"/>
                <w:color w:val="auto"/>
                <w:w w:val="97"/>
              </w:rPr>
              <w:t>Class C Common Stock</w:t>
            </w:r>
          </w:p>
        </w:tc>
        <w:tc>
          <w:tcPr>
            <w:tcW w:w="8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ling</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1"/>
                <w:szCs w:val="11"/>
                <w:color w:val="auto"/>
              </w:rPr>
            </w:pPr>
          </w:p>
        </w:tc>
        <w:tc>
          <w:tcPr>
            <w:tcW w:w="5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8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6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9"/>
              </w:rPr>
              <w:t>Interests</w:t>
            </w:r>
          </w:p>
        </w:tc>
        <w:tc>
          <w:tcPr>
            <w:tcW w:w="60" w:type="dxa"/>
            <w:vAlign w:val="bottom"/>
          </w:tcPr>
          <w:p>
            <w:pPr>
              <w:spacing w:after="0"/>
              <w:rPr>
                <w:sz w:val="11"/>
                <w:szCs w:val="11"/>
                <w:color w:val="auto"/>
              </w:rPr>
            </w:pPr>
          </w:p>
        </w:tc>
        <w:tc>
          <w:tcPr>
            <w:tcW w:w="7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95"/>
        </w:trPr>
        <w:tc>
          <w:tcPr>
            <w:tcW w:w="10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Balance at</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231F20"/>
              </w:rPr>
              <w:t>January 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32,834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(2,106)</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(290,050)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231F20"/>
              </w:rPr>
              <w:t>2019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(319,962)</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Retroactive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application 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231F20"/>
              </w:rPr>
              <w:t>(817)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231F20"/>
              </w:rPr>
              <w:t>820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97"/>
        </w:trPr>
        <w:tc>
          <w:tcPr>
            <w:tcW w:w="1000" w:type="dxa"/>
            <w:vAlign w:val="bottom"/>
            <w:vMerge w:val="restart"/>
          </w:tcPr>
          <w:p>
            <w:pPr>
              <w:ind w:left="120"/>
              <w:spacing w:after="0" w:line="135" w:lineRule="exact"/>
              <w:rPr>
                <w:sz w:val="20"/>
                <w:szCs w:val="20"/>
                <w:color w:val="auto"/>
              </w:rPr>
            </w:pPr>
            <w:r>
              <w:rPr>
                <w:rFonts w:ascii="Times New Roman" w:cs="Times New Roman" w:eastAsia="Times New Roman" w:hAnsi="Times New Roman"/>
                <w:sz w:val="13"/>
                <w:szCs w:val="13"/>
                <w:color w:val="231F20"/>
              </w:rPr>
              <w:t>the exchange</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ratio</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(23,049)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Adjusted balance</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231F20"/>
              </w:rPr>
              <w:t>at January 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32,017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(319,962)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(2,106)</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(290,050)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(290,050)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231F20"/>
              </w:rPr>
              <w:t>2019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231F20"/>
              </w:rPr>
              <w:t>Net loss</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(37,192)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(37,192)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Stock-based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2,813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231F20"/>
              </w:rPr>
              <w:t>compensation</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Issuance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common stock</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231F20"/>
              </w:rPr>
              <w:t>195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tcPr>
          <w:p>
            <w:pPr>
              <w:ind w:left="120"/>
              <w:spacing w:after="0" w:line="135" w:lineRule="exact"/>
              <w:rPr>
                <w:sz w:val="20"/>
                <w:szCs w:val="20"/>
                <w:color w:val="auto"/>
              </w:rPr>
            </w:pPr>
            <w:r>
              <w:rPr>
                <w:rFonts w:ascii="Times New Roman" w:cs="Times New Roman" w:eastAsia="Times New Roman" w:hAnsi="Times New Roman"/>
                <w:sz w:val="13"/>
                <w:szCs w:val="13"/>
                <w:color w:val="231F20"/>
              </w:rPr>
              <w:t>upon exercise</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of stock options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Other</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comprehensive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863</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231F20"/>
              </w:rPr>
              <w:t>income</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Balance at</w:t>
            </w: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231F20"/>
              </w:rPr>
              <w:t>December 31,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35,025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(357,154)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(323,371)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231F20"/>
              </w:rPr>
              <w:t>2019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31F20"/>
              </w:rPr>
              <w:t>Net income</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Stock-based</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231F20"/>
              </w:rPr>
              <w:t>1,189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231F20"/>
              </w:rPr>
              <w:t>compensation</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Issuance of</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common stock</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231F20"/>
              </w:rPr>
              <w:t>upon exercise</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231F20"/>
              </w:rPr>
              <w:t>of stock options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Other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comprehensive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(2,116)</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loss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Balance at</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231F20"/>
              </w:rPr>
              <w:t>December 31,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36,373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(346,818)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(3,359)</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(313,803)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231F20"/>
              </w:rPr>
              <w:t>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231F20"/>
              </w:rPr>
              <w:t>Net income</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24,712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231F20"/>
              </w:rPr>
              <w:t>—</w:t>
            </w:r>
          </w:p>
        </w:tc>
        <w:tc>
          <w:tcPr>
            <w:tcW w:w="12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24,712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Issuance of</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231F20"/>
              </w:rPr>
              <w:t>common stock</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3,839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HuffPost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24,064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24,064</w:t>
            </w:r>
          </w:p>
        </w:tc>
        <w:tc>
          <w:tcPr>
            <w:tcW w:w="6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8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26,186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231F20"/>
              </w:rPr>
              <w:t>Acquisition</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Stock-based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23,565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231F20"/>
              </w:rPr>
              <w:t>compensation</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Issuance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common stock</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in connection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with share-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based plans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Merger of</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231F20"/>
              </w:rPr>
              <w:t>BuzzFeed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231F20"/>
              </w:rPr>
              <w:t>Japan and</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231F20"/>
              </w:rPr>
              <w:t>HuffPost Japan</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Disposition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231F20"/>
              </w:rPr>
              <w:t>subsidiaries</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Conversion of</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231F20"/>
              </w:rPr>
              <w:t>shares</w:t>
            </w:r>
          </w:p>
        </w:tc>
        <w:tc>
          <w:tcPr>
            <w:tcW w:w="5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9,693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(9,693)</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Reverse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recapitalization,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net 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473,694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473,704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473,704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transaction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costs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Shares issued for</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231F20"/>
              </w:rPr>
              <w:t>C Acquisition</w:t>
            </w:r>
          </w:p>
        </w:tc>
        <w:tc>
          <w:tcPr>
            <w:tcW w:w="58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Other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231F20"/>
              </w:rPr>
              <w:t>comprehensive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126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color w:val="231F20"/>
              </w:rPr>
              <w:t>loss</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695,869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(322,106)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370,543</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2,044</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372,587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0520"/>
          </w:cols>
          <w:pgMar w:left="840" w:top="51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520"/>
          </w:cols>
          <w:pgMar w:left="840" w:top="513" w:right="5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Net income (loss)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25,876</w:t>
            </w:r>
          </w:p>
        </w:tc>
        <w:tc>
          <w:tcPr>
            <w:tcW w:w="10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11,156</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Adjustments to reconcile net income (loss) to net cash used in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22,860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17,486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19,450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Unrealized loss (gain) on foreign currency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(2,623)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Stock based compensation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23,565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1,189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warrants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(4,740)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derivative liability</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Issuance costs allocated to derivative liability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Amortization of debt discount and deferred issuance costs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Loss on disposition of subsidiaries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711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(gain) on disposition of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(161)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(12,951)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(7,086)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4,397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 and prepaid expenses and other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(6,395)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(1,521)</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397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2,307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1,429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231F20"/>
              </w:rPr>
              <w:t>Accrued expenses, other current liabilities and other liabilities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2,086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6,309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(5,759)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provided by (used in) operating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27,553</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(20,243)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Business acquisitions, net of cash acquired</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(189,885)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(4,708)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Capitalization of internal-use software</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(11,039)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(9,830)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(8,166)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sales and maturities of marketable securities</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of disposed subsidiaries, less proceeds on disposition</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(265)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investing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(208,028)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(14,803)</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16,363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Proceeds from reverse recapitalization, net of costs</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(11,652)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Proceeds from issuance of common stock</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Proceeds from issuance of convertible notes, net of issuance costs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6,975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from revolving credit facility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19,896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Payments on revolving credit facility</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from secured borrowing facility</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217,382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secured borrowing facility</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(217,982)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provided by financing activities</w:t>
            </w: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181,823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19,455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195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currency translation on cash and cash equivalents</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(985)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231F20"/>
              </w:rPr>
              <w:t>(103)</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(26,393)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32,102</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(3,421)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year</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106,126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74,024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31F20"/>
              </w:rPr>
              <w:t>77,445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year</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106,126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74,024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global media company with social, content-driven publishing technology. BuzzFeed provides breaking news, original reporting, entertainment, and video across its owned and operated and the social web to its global audience. BuzzFeed derives its revenue primarily from content, advertising and commerce sold to leading brands. The Company has one reportable segment.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 2021 (the “Closing Date”), the Company consummated the previously announced business combinations in connection with (i) that certain Agreement and Plan of Merger, dated June 24, 2021 (as amended, the “Merger Agreement”), by and among 890 5th Avenue Partners, Inc., a Delaware corporation (“890”), Bolt Merger Sub I, Inc., a Delaware corporation and a direct, wholly-owned subsidiary of 890 (“Merger Sub I”), Bolt Merger Sub II, Inc., a Delaware corporation and a direct, wholly-owned subsidiary of 890 (“Merger Sub II”), and BuzzFeed, Inc., a Delaware corporation (“ Legacy BuzzFeed”), pursuant to which (a) Merger Sub I merged with and into Legacy BuzzFeed (the “First Merger”), with Legacy BuzzFeed surviving the First Merger as a wholly-owned subsidiary of 890 and (b) immediately following the First Merger, Legacy BuzzFeed merged with and into Merger Sub II (the “Second Merger” and, together with the First Merger, the “Two-Step Merger”), with Merger Sub II surviving the Second Merger as a wholly-owned subsidiary of 890; and (ii) the Membership Interest Purchase Agreement, dated as of March 27, 2021 (as amended, the “C Acquisition Purchase Agreement”), by and among Legacy BuzzFeed, CM Partners, LLC, Complex Media, Inc., Verizon CMP Holdings LLC and HDS II, Inc., pursuant to which the surviving entity acquired 100% of the membership interests of CM Partners, LLC. CM Partners, LLC, together with Complex Media, Inc., is referred to herein as “Complex Networks.” The Two-Step Merger and the other transactions contemplated by the Merger Agreement, including the acquisition by the surviving entity of Complex Networks, are hereinafter referred to as the “Business Combination.” In connection with the consummation of the Business Combination, 890 was renamed “BuzzFeed,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and for the year ended December 31, 2021, the Company has cash and cash equivalents of $79.7 million, generated positive income of $25.9 million, and positive operating cash inflows. However, the Company has a history of losses, and has an accumulated deficit of $322.1 million as of December 31, 2021. The Company has cash available on hand and management believes its existing capital resources will be sufficient to support the Company’s operations and meet its obligations as they come due within one year from the date these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Closing Date: (i) each issued and outstanding share of Class A common stock, par value $0.0001 per share (the “890 Class A common stock”), and Class F common stock, par value $0.0001 per share (the “890 Class F common stock”), of 890 became one share of BuzzFeed Class A common stock, par value $0.0001 per share (the “BuzzFeed Class A common stock”); (ii) each issued and outstanding whole warrant to purchase shares of 890 Class A common stock became a warrant to acquire one share of BuzzFeed Class A common stock at an exercise price of $11.50 per share (each a “BuzzFeed warrant”); and (iii) each issued and outstanding unit of 890 that had not been previously separated into the underlying share of 890 Class A common stock and the underlying warrants of 890 upon the request of the holder thereof was cancelled and entitled the holder thereof to one share of BuzzFeed Class A common stock and one-third of one BuzzFeed warrant.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on the Closing Date (i) each share of Legacy BuzzFeed Class A common stock and Legacy BuzzFeed preferred stock (other than Series F Preferred Stock and Series G Preferred Stock, any cancelled shares or dissenting shares) issued and outstanding were cancelled and automatically converted into the right to receive 0.306 shares of BuzzFeed Class A Common Stock; (ii) all of the shares of Series F Preferred Stock and Series G Preferred Stock issued and outstanding were cancelled and automatically converted into the right to receive 30,880,000 shares of BuzzFeed Class A Common Stock; (iii) each share of Class B Common Stock of Legacy BuzzFeed issued and outstanding (other than any cancelled shares or dissenting shares) were cancelled and automatically converted into the right to receive 0.306 shares of BuzzFeed Class B Common Stock; and (iv) each share of Class C Common Stock of Legacy BuzzFeed issued and outstanding were cancelled and automatically converted into the right to receive 0.306 shares of BuzzFeed Class C Common Stock, in each case in accordance with the applicable provisions of the Merger Agreement. As a result, shares of BuzzFeed capital stock no longer represent an ownership interest in Legacy BuzzFeed, but instead represent an ownership interest in BuzzFeed.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in connection with the Merger Agreement, the Company issued, and certain investors purchased, $150.0 million aggregate principal amount of unsecured convertible notes due 2026 concurrently with the closing of the Business Combination (the “Notes”).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27,133,519 shares of 890 Class A common stock sold in 890’s initial public offering (the “Public Shares”) properly exercised their right to have their public shares redeemed for a full pro rata portion of the trust account holding the proceeds from 890’s initial public offering, calculated as of two business days prior to the Closing, which was approximately $10.00 per share, or $271.3 million in the aggregate. Approximately $16.2 million remained in 890’s trust account and was used to partially fund the Business Combination.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proceeds raise and issuance costs incurred related to the Business Combination:</w:t>
      </w:r>
    </w:p>
    <w:p>
      <w:pPr>
        <w:sectPr>
          <w:pgSz w:w="11900" w:h="16838" w:orient="portrait"/>
          <w:cols w:equalWidth="0" w:num="1">
            <w:col w:w="9920"/>
          </w:cols>
          <w:pgMar w:left="980" w:top="513" w:right="999" w:bottom="1440" w:gutter="0" w:footer="0" w:header="0"/>
        </w:sectPr>
      </w:pPr>
    </w:p>
    <w:p>
      <w:pPr>
        <w:spacing w:after="0" w:line="2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890 reverse recapitalization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BuzzFeed reverse recapitalization costs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Accrued reverse recapitalization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Net proceeds from reverse recapitalization</w:t>
      </w:r>
    </w:p>
    <w:p>
      <w:pPr>
        <w:spacing w:after="0" w:line="2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Proceeds from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Issuance costs settled in stock</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Proceeds from issuance of Notes, net of issuance costs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412" w:hanging="412"/>
        <w:spacing w:after="0"/>
        <w:tabs>
          <w:tab w:leader="none" w:pos="4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16,167</w:t>
      </w:r>
    </w:p>
    <w:p>
      <w:pPr>
        <w:spacing w:after="0" w:line="27"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(13,795)</w:t>
      </w:r>
    </w:p>
    <w:p>
      <w:pPr>
        <w:spacing w:after="0" w:line="20"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(14,609)</w:t>
      </w:r>
    </w:p>
    <w:p>
      <w:pPr>
        <w:spacing w:after="0" w:line="20"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w:t>
      </w:r>
    </w:p>
    <w:p>
      <w:pPr>
        <w:spacing w:after="0" w:line="9" w:lineRule="exact"/>
        <w:rPr>
          <w:sz w:val="20"/>
          <w:szCs w:val="20"/>
          <w:color w:val="auto"/>
        </w:rPr>
      </w:pPr>
    </w:p>
    <w:p>
      <w:pPr>
        <w:ind w:left="352" w:hanging="352"/>
        <w:spacing w:after="0"/>
        <w:tabs>
          <w:tab w:leader="none" w:pos="352" w:val="left"/>
        </w:tabs>
        <w:numPr>
          <w:ilvl w:val="0"/>
          <w:numId w:val="4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(11,652)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6083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2" w:lineRule="exact"/>
        <w:rPr>
          <w:sz w:val="20"/>
          <w:szCs w:val="20"/>
          <w:color w:val="auto"/>
        </w:rPr>
      </w:pPr>
    </w:p>
    <w:p>
      <w:pPr>
        <w:ind w:left="312" w:hanging="312"/>
        <w:spacing w:after="0"/>
        <w:tabs>
          <w:tab w:leader="none" w:pos="3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w:t>
      </w:r>
    </w:p>
    <w:p>
      <w:pPr>
        <w:spacing w:after="0" w:line="27"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(6,757)</w:t>
      </w:r>
    </w:p>
    <w:p>
      <w:pPr>
        <w:spacing w:after="0" w:line="20"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083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ind w:left="312" w:hanging="312"/>
        <w:spacing w:after="0"/>
        <w:tabs>
          <w:tab w:leader="none" w:pos="312"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143,806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083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8" w:space="720"/>
            <w:col w:w="1952"/>
          </w:cols>
          <w:pgMar w:left="980" w:top="513" w:right="999" w:bottom="1440" w:gutter="0" w:footer="0" w:header="0"/>
          <w:type w:val="continuous"/>
        </w:sectPr>
      </w:pP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Business Combination (including the issuance of 10,000,000 shares of BuzzFeed Class A common stock pursuant to the C Acquisition Purchase Agreement), the redemption of Public Shares as described above and the separation of the former 890 units, as of the Closing Date, there were 110,789,875 shares of BuzzFeed Class A common stock issued and outstanding, 15,872,459 shares of BuzzFeed Class B common stock issued and outstanding and 6,478,031 shares of BuzzFeed Class C common stock issued and outstanding.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Two-Step Merger was accounted for as a reverse recapitalization, with no goodwill or other intangible assets recorded, in accordance with accounting principles generally accepted in the United States of America (“GAAP”). Under this method of accounting, 890 was treated as the “acquired” company for financial reporting purposes. Accordingly, for accounting purposes, the reverse recapitalization was treated as the equivalent of Legacy BuzzFeed issuing stock for the net assets of 890, accompanied by a recapitalization. The net assets of 890 were stated at historical cost, with no goodwill or other intangible assets recorded. Operations prior to the reverse recapitalization are those of Legacy BuzzFeed.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determination of Legacy BuzzFeed being the accounting acquirer for the Two-Step Merger was primarily based on evaluation of the following facts and circumstances: (i) Legacy BuzzFeed’s existing stockholders own the majority of the shares and have the majority of the voting interests in BuzzFeed with more than 97% of the voting interests; (ii) Legacy BuzzFeed appointed the majority of the directors on BuzzFeed’s Board; (iii) Legacy BuzzFeed’s existing management comprises the majority of the management of BuzzFeed; (iv) Legacy BuzzFeed is the larger entity based on historical revenues and business operations and comprises the majority of the ongoing operations of BuzzFeed; and (v) Legacy BuzzFeed assumed BuzzFeed’s name.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recast in all comparative periods up to the Closing Date to reflect the number of shares of the Company’s common stock, $0.0001 par value per share, issued to Legacy BuzzFeed’s stockholders in connection with the Business Combination. As such, the shares and corresponding capital amounts and earnings per share related to Legacy BuzzFeed redeemable convertible preferred stock (other than Series F Preferred Stock and Series G Preferred Stock ) and Legacy BuzzFeed common stock prior to the Business Combination have been retroactively recast as shares reflecting the Exchange Ratio of 0.306 established in the Business Combination. Legacy BuzzFeed Series F Preferred Stock and Series G Preferred stock have been retroactively restated based on the exchange into 30,880,000 shares of BuzzFeed Class A common stock established in the Business Combination.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BuzzFeed common stock and warrants commenced trading on the Nasdaq Stock Market LLC under the symbols “BZFD” and “BZFDW,” respectively, on December 6,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ectPr>
          <w:pgSz w:w="11900" w:h="16838" w:orient="portrait"/>
          <w:cols w:equalWidth="0" w:num="1">
            <w:col w:w="9920"/>
          </w:cols>
          <w:pgMar w:left="980" w:top="513" w:right="99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BuzzFeed, Inc., and its wholly-owned and majority-owned subsidiaries. The Company’s consolidated financial statements are prepared in accordance with GAAP. All intercompany balances and transactions have been eliminated in consolidation. Certain prior year figures have been reclassified to conform to current period presentation.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its relationships with other entities to identify whether they are variable interest entities (“VIE”) in accordance with Accounting Standards Codification (“ASC”) 810, Consolidation.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2015, the Company signed a Joint Venture Agreement (“JVA”) with Yahoo Japan to establish and develop operations in Japan. BuzzFeed Japan will carry out the core BuzzFeed business in the Japanese language for the Japanese market. BuzzFeed Japan is a joint venture owned 51% by the Company, through its wholly-owned subsidiaries, BuzzFeed UK Limited, and The Huffington Post Holdings LLC and 24.5% by Z Holdings Corporation and 24.5% by Asahi Shimbun Company. BuzzFeed Japan is included as a consolidated subsidiary in the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2021 and 2020 the Company established several production companies created solely for the purpose of producing a single film each, which are considered VIEs. The Company is the primary beneficiary of each production company as it has the ability to direct the activities that most significantly impact the economic performance of the entities, the obligation to absorb losses, and the right to receive benefits from the entities. As a result, the production companies are included as consolidated subsidiaries in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framework under the applicable authoritative guidance requires the categorization of assets and liabilities into three levels:</w:t>
      </w:r>
    </w:p>
    <w:p>
      <w:pPr>
        <w:spacing w:after="0" w:line="162"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(unadjusted) in active markets for identical assets or liabilities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either directly or indirectly,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inputs and typically reflect management’s best estimate of assumptions that market participants would use in pricing the asset or liability.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for which the instrument could be exchanged in a current transaction between willing parties. The level in the fair value hierarchy within which a fair value measurement in its entirety falls is based on the lowest-level input that is significant to the fair value measurement in its entirety.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prepaid and other current assets, accounts payable, accrued expenses, deferred rent, deferred revenue, other current liabilities, and borrowings on our Revolving Credit Facility (as defined below) approximate fair value. Money market funds are categorized as Level 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which include property and equipment, capitalized software costs, prepaid and other assets, and intangible assets,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all cash whose use is limited by contractual provisions as restricted cash. In the first quarter of 2021, letters of credit totaling $15.5 million were issued under the $50.0 million revolving credit facility (the “Revolving Credit Facility”) which reduced the remaining borrowing capacity by the same amount. These letters of credit were used in favor of our landlords, relieving us of the requirement to maintain $15.5 million of cash as collateral. As a result, the $15.5 million of restricted cash as of December 31, 2020 is no longer restricted.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cash and cash equivalent and restricted cash in the consolidated balance sheets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0"/>
        </w:trPr>
        <w:tc>
          <w:tcPr>
            <w:tcW w:w="7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106,126</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Company’s allowance for doubtful accounts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January 1,</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231F20"/>
              </w:rPr>
              <w:t>Balance as of December 31,</w:t>
            </w:r>
          </w:p>
        </w:tc>
        <w:tc>
          <w:tcPr>
            <w:tcW w:w="15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one customer that represents 11% of net accounts receivable. As of December 31, 2020, the Company had four customers that represent 13%, 13%, 12% and 10% of net accounts receivable. The Company had two customers representing 13% and 12% of total revenue for the year ended December 31, 2021, two customers representing 13% and 10% of total revenue for the year ended December 31, 2020, and two customers representing 12% and 10% of total revenue for the year ended December 31,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incurred to produce films (which include direct production costs, production overhead, acquisition costs and development costs) are capitalized when incurred. Capitalized film costs are amortized based upon the ratio of current period revenues to estimated total gross revenues to be earned from the film. Film costs, which were included in prepaid and other assets on the consolidated balance sheets,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Feature films in production</w:t>
            </w:r>
          </w:p>
        </w:tc>
        <w:tc>
          <w:tcPr>
            <w:tcW w:w="3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10"/>
        </w:trPr>
        <w:tc>
          <w:tcPr>
            <w:tcW w:w="4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amortized film costs of $7.1 million associated with individually monetized feature films. No amortization of film costs was recorded during the years ended December 31, 2020 or 2019. Film cost amortization is included in cost of revenue in the consolidated statements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Film costs are stated at the lower of amortized cost or estimated fair value and are reviewed on a title-by-title basis when an event or change in circumstances indicates that the fair value of a film is less than its unamortized cost. During the years ended December 31, 2021, 2020 or 2019, the Company recorded no impairment charges related to film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Depreciation on property and equipment is calculated using the straight-line method over the estimated useful lives of the assets. Leasehold improvements are amortized over the shorter of the lease term or the estimated useful life. The estimated useful lives of property and equipment of each asset category are as follows:</w:t>
      </w:r>
    </w:p>
    <w:p>
      <w:pPr>
        <w:spacing w:after="0" w:line="39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Furniture and fixtures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231F20"/>
              </w:rPr>
              <w:t>Leasehold improvements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Computer equipment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231F20"/>
              </w:rPr>
              <w:t>Video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for development of websites or software for internal use. The Company capitalizes development costs when preliminary development efforts are successfully completed, management has authorized and committed project funding and it is probable that the project will be completed and the software will be used as intended. Costs include payroll and payroll-related costs of employees directly associated with the development activities. Costs incurred for enhancements that are expected to result in additional features or functionality are capitalized and amortized over the estimated useful life of the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enhancements, generally 1 to 3 years. Costs incurred in the preliminary and post-implementation stages of the Company’s products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Company had an investment in equity securities of a privately-held company without a readily determinable fair value. The total carrying value of the investment, included in prepaid and other assets on the consolidated balance sheets, was $2.3 million as of December 31, 2021 and 2020. The Company concluded that the fair value of the investment increased $0.5 million during the year ended December 31, 2020 as the result of observable price changes in orderly transactions for a similar investment in the same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Long-Lived Assets and Impairment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reviews its property and equipment and capitalized software costs for impairment when events or changes in circumstances indicate that the carrying amount of the asset may not be recoverable. If circumstances require a long-lived asset to be tested for possible impairment, the Company first compares undiscounted cash flows expected to be generated by the asset to its carrying value. If the carrying value of the long-lived asset is not recoverable on an undiscounted cash flow basis, an impairment is recognized to the extent that the carrying value exceeds its fair value. Fair value is determined through various valuation techniques which may include discounted cash flow models, quoted market values and third-party independent appraisals, as considered necessary. There was no impairment of long-lived assets for the years ended December 31, 2021, 2020, or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 manner that depicts the transfer of promised goods or services to customers in an amount that reflects the consideration to which the entity expects to be entitled in exchange for those goods or services.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generates its revenue from advertising services and content, which includes strategic partnerships and promotional content, with the remaining balance from other arrangements, including commerce.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generates its advertising revenue from managing a customer’s internet advertising campaigns to target markets both via BuzzFeed’s proprietary sites as well as premium publishers (e.g., Facebook and Google).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When ads are placed on the Company’s owned and operated or third parties’ properties, the Company generally recognizes revenue on a gross basis because the Company is primarily responsible for the delivery of the promised services, has pricing discretion, and controls the advertising inventory prior to transfer to the customer. In some cases, the Company utilizes third party intermediaries to facilitate the sale of advertising to the end customer. In these situations, while the Company is primarily responsible for the delivery of the promised services and controls the advertising inventory prior to transfer to the end customer, the Company typically does not have insight, and does not expect to have insight, into the gross amount paid by the end customer and therefore records as revenue the net amount received from the intermediary.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creating content, including promotional content, customer advertising, and feature films. The Company’s performance obligations consist of Company-created content for use by its customers or the delivery of a promised number of actions related to the content (impressions or views). The revenue is recognized when the content, or the related action, is delivered.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participates in multiple marketplace arrangements with third parties such as Amazon whereby the Company provides affiliate links which redirect the audience to purchase products and/or services from the third parties. When the participant purchases a product and/or service, the Company receives a commission fee for that sale from the third parties. The revenue is recognized when a successful sale is made and the commission is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compensation-related expenses and costs incurred for the publishing of editorial, promotional, and news content across all platforms, as well as amounts due to third party websites and platforms to fulfil customers’ advertising campaigns. Web hosting and advertising serving platform costs are also included in cost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compensation-related expenses for sales employees. In addition, marketing and sales-related expenses include advertising costs, market research, and branding.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compensation-related expenses for corporate employees. Also, it consists of expense for facilities, professional services fees, insurance costs, and other general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compensation-related expenses incurred for the development of, enhancements to, and maintenance of the Company’s website, technology platforms and infrastructure. R&amp;D expenses that do not meet the criteria for capitalization are expensed as incurred. Certain development expenses are capitalized under the provisions of the applicable authoritative guidance, whereby the Company capitalizes costs associated with website and internal-use software systems that have reached the application development stage.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if it is more likely than not that the tax position will be sustained on examination by the taxing authorities based on the technical merits of the position.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made a policy election to treat the income tax with respect to GILTI as a period expense when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consolidated financial statements and is measured at the fair value of the award. The Company recognizes compensation expense for stock awards based on grant date fair value using the Black-Scholes option-pricing model. The Company accounts for forfeitures as they occur.</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2018-07, </w:t>
      </w:r>
      <w:r>
        <w:rPr>
          <w:rFonts w:ascii="Times New Roman" w:cs="Times New Roman" w:eastAsia="Times New Roman" w:hAnsi="Times New Roman"/>
          <w:sz w:val="18"/>
          <w:szCs w:val="18"/>
          <w:i w:val="1"/>
          <w:iCs w:val="1"/>
          <w:color w:val="auto"/>
        </w:rPr>
        <w:t>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2018-07”), on January 1, 2020. Prior to January 1, 2020, the Company calculated the fair value of awards to non-employees on the date of grant in the same manner as employee stock-based awards, however, the unvested portion of the awards were revalued at the end of each reporting period and the pro-rata compensation expense was adjusted accordingly until such time the non-</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award was fully vested. The adoption of this ASU did not have material impact on the consolidated financial statements and there was no adjustment to beginning accumulated deficit on January 1,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 included in the consolidated statements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48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0"/>
        </w:trPr>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no income tax benefit in the consolidated statements of operations for stock-based compensation arrangements in 2021, 2020 or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certain changes in stockholders’ equity that are excluded from net income (loss) such as cumulative foreign currency translation adjustments, unrealized gains or losses on marketable securities, and comprehensive income (loss) attributed to the redeemable noncontrolling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functional currency of our foreign subsidiaries are generally the local currency. The financial statements of these subsidiaries are translated into U.S. dollars using month-end rates of exchange for assets and liabilities, and average rates of exchange for revenue, costs and expenses. Translation gains and losses are recorded in accumulated other comprehensive loss in stockholders’ equity. Transaction gains and losses including intercompany transactions denominated in a currency other than the functional currency of the entity involved are included in foreign exchange gain (loss) within other income, net in the consolidated statements of operations. The Company does not enter into foreign currency forward exchange contracts or other derivative financial instruments to hedge the effects of adverse fluctuations in foreign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or EGC, has elected to take advantage of the benefits of the extended transition period provided for in Section 7(a)(2)(B) of the Securities Act, for complying with new or revised accounting standards which allows the Company to defer adoption of certain accounting standards until those standards would otherwise apply to private companies.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xml:space="preserve"> (“ASU 2021-08”). ASU 2021-08 requires an acquirer to account for revenue contracts acquired in a business 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significant impact on the Company’s consolidated financial statements.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The ASU eliminates two of the three models in Accounting Standards Codification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470-20 that require separating 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same fiscal year. The ASU allows entities to use a modified or full retrospective transition method. The Company elected to early adopt ASU 2020-06 effective January 1, 2021. The adoption of ASU 2020-06 did not have a significant impact on the Company’s consolidated financial statements.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(Topic 350): Internal-Use Software</w:t>
      </w:r>
      <w:r>
        <w:rPr>
          <w:rFonts w:ascii="Times New Roman" w:cs="Times New Roman" w:eastAsia="Times New Roman" w:hAnsi="Times New Roman"/>
          <w:sz w:val="18"/>
          <w:szCs w:val="18"/>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is effective for the Company for annual reporting periods beginning after December 15, 2020, and interim reporting periods beginning after December 15, 2021. The Company adopted ASU 2018-15 prospectively for the Company’s annual reporting period effective January 1, 2021 and will adopt it for interim reporting periods beginning on January 1, 2022. The adoption did not have a significant impact on the Company’s consolidated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2020, the Company adopted ASU 2018-13, </w:t>
      </w:r>
      <w:r>
        <w:rPr>
          <w:rFonts w:ascii="Times New Roman" w:cs="Times New Roman" w:eastAsia="Times New Roman" w:hAnsi="Times New Roman"/>
          <w:sz w:val="18"/>
          <w:szCs w:val="18"/>
          <w:i w:val="1"/>
          <w:iCs w:val="1"/>
          <w:color w:val="auto"/>
        </w:rPr>
        <w:t>Fair Value Measurement (Topic 820) — Disclosure Framework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Fair Value Measurement</w:t>
      </w:r>
      <w:r>
        <w:rPr>
          <w:rFonts w:ascii="Times New Roman" w:cs="Times New Roman" w:eastAsia="Times New Roman" w:hAnsi="Times New Roman"/>
          <w:sz w:val="18"/>
          <w:szCs w:val="18"/>
          <w:color w:val="auto"/>
        </w:rPr>
        <w:t>, an accounting standard that improved the effectiveness of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disclosures and modified the disclosure requirements on fair value measurements in Topic 820, Fair Value Measurement, based on the concepts in Financial Accounting Standards Board (“FASB”) Concepts Statement, Conceptual Framework for Financial Reporting — Chapter 8: Notes to Financial Statements, including the consideration of costs and benefits. The adoption of this ASU did not have material impact on the consolidated financial statements.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 2021, the Company adopted the amended guidance in ASU 2019-02, </w:t>
      </w:r>
      <w:r>
        <w:rPr>
          <w:rFonts w:ascii="Times New Roman" w:cs="Times New Roman" w:eastAsia="Times New Roman" w:hAnsi="Times New Roman"/>
          <w:sz w:val="18"/>
          <w:szCs w:val="18"/>
          <w:i w:val="1"/>
          <w:iCs w:val="1"/>
          <w:color w:val="auto"/>
        </w:rPr>
        <w:t>Improvements to Accounting for 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Films and License Agreements for Program Materials</w:t>
      </w:r>
      <w:r>
        <w:rPr>
          <w:rFonts w:ascii="Times New Roman" w:cs="Times New Roman" w:eastAsia="Times New Roman" w:hAnsi="Times New Roman"/>
          <w:sz w:val="18"/>
          <w:szCs w:val="18"/>
          <w:color w:val="auto"/>
        </w:rPr>
        <w:t>, which aligns the accounting for capitalizing production costs of episodic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series with the guidance for films. As a result, the capitalization of costs incurred to produce episodic television series is no longer limited to the amount of revenue contracted in the initial market until persuasive evidence of a secondary market exists. In addition, under this guidance we test our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 guidance and adds new disclosure requirements relating to costs for acquired and produced films and television series. The adoption of this guidance did not have a material impact on the consolidated financial statements.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2019, the Company adopted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which supersedes the revenue recognition requirements in Accounting Standards Codification (ASC) Topic 605,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(Topic 605), using the modified retrospective transition method applied to those contracts that were not completed as of January 1, 2019. The impact of adopting the new revenue standard was not material to our consolidated financial statements and there was no adjustment to beginning accumulated deficit on January 1,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existing guidance on accounting for leases in Leases (Topic 840) and generally requires leased assets and lease liabilities to be recognized on the balance sheet. The ASU is effective for the Company for annual periods beginning after December 15, 2021, and interim periods within fiscal years beginning after December 15, 2022. Early adoption is permitted. The Company is still assessing the potential impact that ASU 2016-02 will have on our consolidated financial statements and disclosures, but we expect that we will recognize material right-of-use lease assets and related lease liabilities for operating leases, with no impact to our Income Statements or Statements of Cash Flows.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is currently assessing the timing and impact of adopting ASU 2016-13 on the Company’s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amendments in this ASU simplify the accounting for income taxes by removing certain exceptions to the general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Income Taxes. The amendments also improve consistent application and simplify GAAP for other areas of Topic 740 by clarifying and amending existing guidance. The guidance is effective for the Company for annual periods beginning after December 15,</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2021, and interim periods within fiscal years beginning after December 15, 2022. Early adoption is permitted. The Company is currently assessing the timing and impact of adopting the new guidance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Acquisition</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3, 2021, the Company completed the acquisition of 100% of the members’ interests of Complex Networks, a publisher of online media content targeting Millennial and Gen Z consumers (the “C Acquisition”).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C Acquisition: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consideration</w:t>
            </w:r>
            <w:r>
              <w:rPr>
                <w:rFonts w:ascii="Times New Roman" w:cs="Times New Roman" w:eastAsia="Times New Roman" w:hAnsi="Times New Roman"/>
                <w:sz w:val="25"/>
                <w:szCs w:val="25"/>
                <w:color w:val="auto"/>
                <w:vertAlign w:val="superscript"/>
              </w:rPr>
              <w:t>(1)</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ind w:firstLine="8"/>
        <w:spacing w:after="0" w:line="282"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the cash purchase price of $200.0 million adjusted for certain closing specified liabilities as specified in the C Acquisition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Purchase Agreement.</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Represents 10,000,000 shares of BuzzFeed Class A common stock at a price of $9.62 per share, which is based on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closing stock price for Class A common stock on the Closing Date.</w:t>
      </w:r>
    </w:p>
    <w:p>
      <w:pPr>
        <w:spacing w:after="0" w:line="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preliminary determination of the fair value of identifiable assets acquired and liabilities assumed from the C Acquisition. The purchase price allocation for the assets acquired and liabilities assumed may be subject to change as additional information is obtained during the acquisition measurement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Complex Networks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0" w:type="dxa"/>
            <w:vAlign w:val="bottom"/>
          </w:tcPr>
          <w:p>
            <w:pPr>
              <w:spacing w:after="0"/>
              <w:rPr>
                <w:sz w:val="1"/>
                <w:szCs w:val="1"/>
                <w:color w:val="auto"/>
              </w:rPr>
            </w:pPr>
          </w:p>
        </w:tc>
      </w:tr>
      <w:tr>
        <w:trPr>
          <w:trHeight w:val="426"/>
        </w:trPr>
        <w:tc>
          <w:tcPr>
            <w:tcW w:w="8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table below indicates the estimated fair value of each of the identifiable intangible 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060" w:type="dxa"/>
            <w:vAlign w:val="bottom"/>
          </w:tcPr>
          <w:p>
            <w:pPr>
              <w:spacing w:after="0"/>
              <w:rPr>
                <w:sz w:val="24"/>
                <w:szCs w:val="24"/>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Asset Fair Value</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Trademarks &amp; tradenames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97,000</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231F20"/>
              </w:rPr>
              <w:t>Customer relationships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Developed technology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$189.4 million of goodwill, which is primarily attributed to workforce and synergies, and is not deductible for tax purposes.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 Acquisition contributed $18.5 million of revenue and $1.2 million of net income for the year ended December 31, 2021.</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94" w:lineRule="exact"/>
        <w:rPr>
          <w:sz w:val="20"/>
          <w:szCs w:val="20"/>
          <w:color w:val="auto"/>
        </w:rPr>
      </w:pPr>
    </w:p>
    <w:p>
      <w:pPr>
        <w:ind w:left="680" w:hanging="321"/>
        <w:spacing w:after="0" w:line="261"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purchase price and related adjustments, including adjustments to amortization expense related to the fair value of intangible assets acquired;</w:t>
      </w: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issuance of the Notes to partially fund the acquisition, including interest;</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and allocation of all acquisition-related costs incurred during the twelve months ended December 31, 2021 to the twelve months ended December 31, 2020;</w:t>
      </w: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tax-related impacts of adjustments;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align accounting policies.</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 upon assumptions that the Company believes are reasonable to reflect the impact of these acquisitions on the Company's historical financial information on a supplemental pro forma basis. The following table presents the Company's pro forma combined revenues and net income.</w:t>
      </w:r>
    </w:p>
    <w:p>
      <w:pPr>
        <w:spacing w:after="0" w:line="12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7620</wp:posOffset>
            </wp:positionV>
            <wp:extent cx="1482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7960"/>
        <w:spacing w:after="0"/>
        <w:tabs>
          <w:tab w:leader="none" w:pos="922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tbl>
      <w:tblPr>
        <w:tblLayout w:type="fixed"/>
        <w:tblInd w:w="0" w:type="dxa"/>
        <w:tblCellMar>
          <w:top w:w="0" w:type="dxa"/>
          <w:left w:w="0" w:type="dxa"/>
          <w:bottom w:w="0" w:type="dxa"/>
          <w:right w:w="0" w:type="dxa"/>
        </w:tblCellMar>
      </w:tblP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446,368</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(19,747)</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HuffPost and Verizon Investment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16, 2021, the Company completed the acquisition of 100% of TheHuffingtonPost.com, Inc. (“HuffPost”) (“HuffPost Acquisition”), a publisher of online news and media content, from entities controlled by Verizon Communications Inc. (“Verizon”). The Company issued 6,478,032 shares of non-voting BuzzFeed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HuffPost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w:t>
            </w:r>
            <w:r>
              <w:rPr>
                <w:rFonts w:ascii="Times New Roman" w:cs="Times New Roman" w:eastAsia="Times New Roman" w:hAnsi="Times New Roman"/>
                <w:sz w:val="26"/>
                <w:szCs w:val="26"/>
                <w:color w:val="auto"/>
                <w:vertAlign w:val="superscript"/>
              </w:rPr>
              <w:t>(1)</w:t>
            </w:r>
          </w:p>
        </w:tc>
        <w:tc>
          <w:tcPr>
            <w:tcW w:w="3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24,064</w:t>
            </w: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23,574</w:t>
            </w:r>
          </w:p>
        </w:tc>
      </w:tr>
      <w:tr>
        <w:trPr>
          <w:trHeight w:val="20"/>
        </w:trPr>
        <w:tc>
          <w:tcPr>
            <w:tcW w:w="5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jc w:val="both"/>
        <w:ind w:firstLine="8"/>
        <w:spacing w:after="0" w:line="266" w:lineRule="auto"/>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9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determination of the fair value of identifiable assets acquired and liabilities assumed from our acquisition of HuffPost. During the year ended December 31, 2021, the Company finalized the fair value of assets acquired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assumed. Measurement period adjustments were reflected in the fourth quarter of 2021, which is the period in which the adjustments occurred. The adjustments resulted from deferred income tax adjustments.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Final</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HuffPost</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23,574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3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1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HuffPost Acquisition contributed $30.3 million of revenue for the year ended December 31, 2021. The HuffPost Acquisition did not have a material impact on the Company’s net loss for the year ended December 31,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HuffPost Italy, HuffPost Korea and HuffPost France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2021 the Company disposed of its 51% ownership interests in HuffingtonPost Italia S.R.L (“HuffPost Italy”), HuffingtonPost Korea, Ltd. (“HuffPost Korea”), and Le HuffingtonPost SAS (“HuffPost France”) for nominal consideration and recognized losses on disposition of $1.2 million. HuffPost Italy, HuffPost Korea, and HuffPost France did not have a material impact on the Company’s net loss for the year ended December 31,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BuzzFeed Brazil</w:t>
      </w:r>
    </w:p>
    <w:p>
      <w:pPr>
        <w:spacing w:after="0" w:line="16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In October 2020 the Company completed the sale of 100% ownership of BuzzFeed do Brasil Internet Ltda. (“BuzzFeed Brazil”) for nominal consideration and recognized a loss on disposition of $0.7 million. BuzzFeed Brazil had no impact on the Company’s net income (loss) for the year ended December 31, 2021.</w:t>
      </w:r>
    </w:p>
    <w:p>
      <w:pPr>
        <w:spacing w:after="0" w:line="1" w:lineRule="exact"/>
        <w:rPr>
          <w:sz w:val="20"/>
          <w:szCs w:val="20"/>
          <w:color w:val="auto"/>
        </w:rPr>
      </w:pPr>
    </w:p>
    <w:p>
      <w:pPr>
        <w:jc w:val="both"/>
        <w:ind w:right="8100" w:firstLine="8"/>
        <w:spacing w:after="0" w:line="490" w:lineRule="auto"/>
        <w:tabs>
          <w:tab w:leader="none" w:pos="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150,876</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1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r>
      <w:tr>
        <w:trPr>
          <w:trHeight w:val="210"/>
        </w:trPr>
        <w:tc>
          <w:tcPr>
            <w:tcW w:w="3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397,564</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317,923</w:t>
            </w:r>
          </w:p>
        </w:tc>
      </w:tr>
      <w:tr>
        <w:trPr>
          <w:trHeight w:val="20"/>
        </w:trPr>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4"/>
        </w:trPr>
        <w:tc>
          <w:tcPr>
            <w:tcW w:w="3200" w:type="dxa"/>
            <w:vAlign w:val="bottom"/>
          </w:tcPr>
          <w:p>
            <w:pPr>
              <w:spacing w:after="0"/>
              <w:rPr>
                <w:sz w:val="24"/>
                <w:szCs w:val="24"/>
                <w:color w:val="auto"/>
              </w:rPr>
            </w:pPr>
          </w:p>
        </w:tc>
        <w:tc>
          <w:tcPr>
            <w:tcW w:w="208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79</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231F20"/>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231F20"/>
              </w:rPr>
              <w:t>2019</w:t>
            </w: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United States</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352,280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292,107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287,723</w:t>
            </w:r>
          </w:p>
        </w:tc>
      </w:tr>
      <w:tr>
        <w:trPr>
          <w:trHeight w:val="216"/>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International</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29,217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30,200</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231F20"/>
              </w:rPr>
              <w:t>Total</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397,564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321,324</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317,923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the type, the substantial majority of which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we have determined our contracts generally do not include a significant financing component.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consolidated balance sheets and totaled $13.3 million, $2.8 million, and $6.2 million, and $nil at December 31, 2021, 2020, and 2019, and January 1, 2019, respectively. These amounts relate to revenue recognized during the respective year that is expected to be invoiced and collected in the following year. During the year ended December 31, 2021 the Company acquired $16.5 million of contract assets as part of the C Acquisition.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consolidated balance sheets, are expected to be recognized as revenues during the succeeding twelve-month period. Deferred revenue totaled $1.7 million, $2.4 million, $1.5 million, and $4.0 million at December 31,2021, 2020, and 2019, and January 1, 2019, respectively. During the year ended December 31, 2021 the Company acquired $5.9 million of deferred revenue as part of the C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certain licensing contracts with minimum guarantees and terms extending beyond one year. Revenue to be recognized related to the remaining performance obligations was $4.2 million at December 31, 2021 and is expected to be recognized over the next 3 years. This amount does not include: (i) contracts with an original expected duration of one year or less, such as advertising contracts,</w:t>
      </w:r>
    </w:p>
    <w:p>
      <w:pPr>
        <w:spacing w:after="0" w:line="1" w:lineRule="exact"/>
        <w:rPr>
          <w:sz w:val="20"/>
          <w:szCs w:val="20"/>
          <w:color w:val="auto"/>
        </w:rPr>
      </w:pPr>
    </w:p>
    <w:p>
      <w:pPr>
        <w:ind w:right="20" w:firstLine="8"/>
        <w:spacing w:after="0" w:line="260" w:lineRule="auto"/>
        <w:tabs>
          <w:tab w:leader="none" w:pos="2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in the form of sales-based royalties, and (iii) variable consideration allocated entirely to wholly unperformed performance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231F20"/>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231F20"/>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231F20"/>
              </w:rPr>
              <w:t>Level 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231F20"/>
              </w:rPr>
              <w:t>Total</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4,875</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4,792</w:t>
            </w: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146</w:t>
            </w: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4,792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9,813</w:t>
            </w:r>
          </w:p>
        </w:tc>
      </w:tr>
      <w:tr>
        <w:trPr>
          <w:trHeight w:val="630"/>
        </w:trPr>
        <w:tc>
          <w:tcPr>
            <w:tcW w:w="3520" w:type="dxa"/>
            <w:vAlign w:val="bottom"/>
          </w:tcPr>
          <w:p>
            <w:pPr>
              <w:spacing w:after="0"/>
              <w:rPr>
                <w:sz w:val="24"/>
                <w:szCs w:val="24"/>
                <w:color w:val="auto"/>
              </w:rPr>
            </w:pP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9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warrant liability as of December 31, 2021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 recorded on the balance sheet at fair value. The carrying amount is subject to remeasurement at each balance sheet date. With each remeasurement, the carrying amount is adjusted to fair value, with the change in fair value recognized in the Company’s consolidated statements of operations and comprehensive loss.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$0.98 and $0.50 as of December 3, 2021 and December 31, 2021,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2021,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significant unobservable inputs used by the Company related to the derivative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w:t>
            </w:r>
          </w:p>
        </w:tc>
      </w:tr>
      <w:tr>
        <w:trPr>
          <w:trHeight w:val="173"/>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31.5 %</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28.0 %</w:t>
            </w:r>
          </w:p>
        </w:tc>
      </w:tr>
      <w:tr>
        <w:trPr>
          <w:trHeight w:val="432"/>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activity of the Level 3 instruments: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3"/>
        </w:trPr>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 ended December 31, 2021.</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Video equipment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09"/>
        </w:trPr>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(36,332)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(37,824)</w:t>
            </w:r>
          </w:p>
        </w:tc>
      </w:tr>
      <w:tr>
        <w:trPr>
          <w:trHeight w:val="210"/>
        </w:trPr>
        <w:tc>
          <w:tcPr>
            <w:tcW w:w="7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totaled $8.3 million, $8.1 million, and $8.7 million for the years ended December 31, 2021, 2020 and 2019, respectively, included in depreciation and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(65,354)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(56,014)</w:t>
            </w:r>
          </w:p>
        </w:tc>
      </w:tr>
      <w:tr>
        <w:trPr>
          <w:trHeight w:val="209"/>
        </w:trPr>
        <w:tc>
          <w:tcPr>
            <w:tcW w:w="7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capitalized $11.0 million, $9.8 million and $8.2 million respectively, included in Capitalized software costs and amortized $11.1 million, $9.4 million and $10.8 million, respectively, included in depreciation and amortization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Intangibles, net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goodwill activities for the periods presented: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HuffPost Acquisition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 Acquisition</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0" w:type="dxa"/>
            <w:vAlign w:val="bottom"/>
          </w:tcPr>
          <w:p>
            <w:pPr>
              <w:spacing w:after="0"/>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11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 (in</w:t>
            </w: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years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Indefinite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years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intangible assets for the year ended December 31, 2021 and 2020 was $3.5 million and $nil, respectively, included in Depreciation and amortization expense.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2021 is as follows (in thousands):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680" w:firstLine="8"/>
        <w:spacing w:after="0" w:line="503"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Secured Facility</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20, 2020, the Company entered into a two-year, $20.0 million, secured borrowing facility agreement (“Secured Facility”). Borrowings under the Secured Facility were limited to 80% of qualifying accounts receivable and bore interest at a rate of LIBOR plus 7.25% per annum, subject to a LIBOR floor rate of 1.5%. Repayment of borrowings under the Secured Facility was required upon the earlier of: (i) the collection of the qualified account receivable, (ii) the maturity date of May 21, 2022, or (iii) on demand with respect to any qualified account receivable that is disputed by the payor, for which the payor has become insolvent or has indicated an inability or unwillingness to pay, or that remains uncollected more than 120 days from the original invoice date. The Secured Facility was subject to a minimum monthly average utilization of $10.0 million. Borrowings under the Secured Facility were collateralized by the Company’s personal property (including accounts receivable but excluding intellectual property). The Secured Facility included covenants that, among other things, limited the ability of the Company to incur additional indebtedness. The Company terminated the Secured Facility on December 30, 2020.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30, 2020, the Company entered into a new three-year, $50.0 million, revolving loan and standby letter of credit facility agreement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includes covenants that, among other things, require the Company to maintain at least $25.0 million of unrestricted cash at all times, limits the ability of the Company to incur additional indebtedness, pay dividends, hold unpermitted investments, or make material changes to the business. The Company was in compliance with the financial covenant as of December 31, 2021. The $15.5 million of standby letters of credit were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LIBOR, subject to a floor rate of 0.75%, plus a margin of 3.75% to 4.25%, depending on the level of the Company’s utilization of the facility (4.50% at December 31, 2021), and subject to a monthly minimum utilization of $15.0 million. The facility also includes an unused commitment fee of 0.375%.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outstanding borrowings of $28.5 million under the Revolving Credit Facility and $15.5 million of outstanding letters of credit issued under the facility. As of December 31, 2020, the Company had outstanding borrowings of $20.4 million and no letters of credit outstanding. The total unused borrowing capacity was $5.4 million and $29.6 million as of December 31, 2021 and 2020,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and 2020, the Company had $0.3 million and $0.5 million of costs in connection with the issuance of debt included in prepaid and other assets in the consolidated balance sheet,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subscription agreements with certain purchasers to sell $150.0 million aggregate principal amount of unsecured convertible notes due 2026. In connection with the Business Combination, the Company completed the Convertible Note Financing of $150.0 million of unsecured convertible notes. The Notes bear interest at a rate of 8.50% per annum, payable semi-annually. The Notes are convertible into shares of Class A common stock, or a combination of cash and Class A common stock, at the Company’s election, at an initial conversion price of $12.50 and mature on December 3, 2026.</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the third anniversary of the issuance of the Notes, subject to a holder’s prior right to convert and certain other conditions, if the volume-weighted average trading price of the BuzzFeed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the Company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consolidated statements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Notes totaled $6.7 million and were allocated between the debt component and derivative liability based on their relative values. Issuance costs attributable to the debt component were $5.3 million and will be amortized to interest expense using the effective interest method over the contractual term. Issuance costs attributable to the derivative liability were $1.4 million and were expensed immediately.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15% and totaled $1.3 million for the year ended December 31, 2021, of which amortization of the debt discount and issuance costs comprised $0.3 million.</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carrying amount of the Notes as of December 31, 2021 was: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as of December 31, 2021 was approximately $126.0 million. The fair value of the Notes was estimated using Level 3 inputs.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assumed 9,583,287 Public Warrants and 292,500 Private Warrants. The Company accounts for the warrants assumed as in accordance with the guidance contained in Derivatives and Hedging — Contracts in Entity’s Own Equity (ASC 815-40). Such guidance provides that because the warrants do not meet the criteria for equity treatment thereunder, each warrant must be recorded as a liability. Accordingly, the Company classifies each warrant as a liability at its fair value. This liability is subject to re-measurement at each balance sheet date. With each such remeasurement, the warrant liability is adjusted to fair value, with the change in fair value recognized in our consolidated statements of operations.</w:t>
      </w:r>
    </w:p>
    <w:p>
      <w:pPr>
        <w:spacing w:after="0" w:line="1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Public Warrants are exercisable commencing 30 days after the completion of the Business Combination, provided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warrants have an exercise price of $11.50 per whole share, subject to adjustments, and will expire five years after the completion of the Business Combination or earlier upon redemption or liquidation.</w:t>
      </w:r>
    </w:p>
    <w:p>
      <w:pPr>
        <w:spacing w:after="0" w:line="1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and the shares of Class A common stock issuable upon exercise of the Private Warrants will not be transferable, assignable or saleable until 30 days after the completion of the Business Combination, subject to certain limited exceptions. Additionally, the Private Warrants are non-redeemable so long as they are held by 890’s sponsor or its permitted transferees. If the Private Warrants are held by someone other than 890’s sponsor or its permitted transferees, the Private Warrants will be redeemable by the Company and exercisable by such holders on the same basis as the Public Warrants.</w:t>
      </w:r>
    </w:p>
    <w:p>
      <w:pPr>
        <w:spacing w:after="0" w:line="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6"/>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9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8"/>
              </w:rPr>
              <w:t>Authorized</w:t>
            </w:r>
            <w:r>
              <w:rPr>
                <w:rFonts w:ascii="Times New Roman" w:cs="Times New Roman" w:eastAsia="Times New Roman" w:hAnsi="Times New Roman"/>
                <w:sz w:val="20"/>
                <w:szCs w:val="20"/>
                <w:b w:val="1"/>
                <w:bCs w:val="1"/>
                <w:color w:val="auto"/>
                <w:w w:val="98"/>
                <w:vertAlign w:val="superscript"/>
              </w:rPr>
              <w:t>(1)</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Outstanding</w:t>
            </w:r>
            <w:r>
              <w:rPr>
                <w:rFonts w:ascii="Times New Roman" w:cs="Times New Roman" w:eastAsia="Times New Roman" w:hAnsi="Times New Roman"/>
                <w:sz w:val="20"/>
                <w:szCs w:val="20"/>
                <w:b w:val="1"/>
                <w:bCs w:val="1"/>
                <w:color w:val="auto"/>
                <w:w w:val="97"/>
                <w:vertAlign w:val="superscript"/>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4"/>
                <w:szCs w:val="14"/>
                <w:b w:val="1"/>
                <w:bCs w:val="1"/>
                <w:color w:val="auto"/>
                <w:w w:val="94"/>
              </w:rPr>
              <w:t>Price</w:t>
            </w:r>
            <w:r>
              <w:rPr>
                <w:rFonts w:ascii="Times New Roman" w:cs="Times New Roman" w:eastAsia="Times New Roman" w:hAnsi="Times New Roman"/>
                <w:sz w:val="20"/>
                <w:szCs w:val="20"/>
                <w:b w:val="1"/>
                <w:bCs w:val="1"/>
                <w:color w:val="auto"/>
                <w:w w:val="94"/>
                <w:vertAlign w:val="superscript"/>
              </w:rPr>
              <w:t>(1)</w:t>
            </w:r>
          </w:p>
        </w:tc>
        <w:tc>
          <w:tcPr>
            <w:tcW w:w="10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10,710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3,500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13,468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8,000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15,375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15,375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15,500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7,383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19,370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50,000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15,440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15,440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200,000</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15,440</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15,440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12.95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5"/>
              </w:rPr>
              <w:t>200,000</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94,360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94,360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5"/>
              </w:rPr>
              <w:t>496,970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56"/>
        <w:spacing w:after="0" w:line="261"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Business Combination, the outstanding shares of Series A, A-1, B, C, D, and E Preferred Stock were converted into 63,479,988 shares of BuzzFeed Class A Common Stock at the Exchange Ratio of 0.306. Series F Preferred Stock and Series G Preferred Stock issued and outstanding converted into 30,880,000 shares of New BuzzFeed Class A Common Stock. Shares Authorized, Shares Issued and Outstanding, and Issue Price above have been retroactively adjusted to reflect this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share of the Legacy BuzzFeed’s preferred stock was entitled to the number of votes equal to the number of shares of Class B Common Stock into which such share of preferred stock could be converted.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Legacy BuzzFeed’s preferred stock were entitled to receive noncumulative annual dividends at a rate of 8% of the applicable original issue price when, as and if declared by Legacy BuzzFeed’s board of directors. Series G and G-1 preferred stockholders of Legacy BuzzFeed were entitled to receive dividends, prior and in preference to any dividends on all other preferred stock and common stock. Series A, B, C, D, E and F preferred stockholders of Legacy BuzzFeed were entitled to receive dividends,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and in preference to any dividends on shares of Legacy BuzzFeed’s Series A-1 preferred stock and common stock. Series A-1 preferred stockholders of Legacy BuzzFeed were entitled to receive dividends prior and in preference to any dividends on shares of the Company’s common stock. The Company has not declared or paid any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Legacy BuzzFeed’s preferred stock were convertible at the option of the holders into shares of Legacy BuzzFeed’s Class B common stock as adjusted by a ten-for-one stock split effected in January 2015. Each share of preferred stock of Legacy BuzzFeed was convertible, without payment of additional consideration by the holder, into such number of fully paid and non-assessable shares of common stock as is determined by dividing the adjusted original issue price by the conversion price applicable to such share.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share of Legacy BuzzFeed’s Series F preferred stock was convertible at the option of the holder into one share of Series F-1 preferred stock. Each share of Legacy BuzzFeed’s Series G preferred stock was convertible into one share of Legacy BuzzFeed’s Series G-1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any liquidation, dissolution or winding up of the Company, including a deemed liquidation event, as defined, the holders of Series G and G-1 preferred stock of Legacy BuzzFeed were entitled to receive,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and in preference to all other holders of preferred and common stock, pro rata, in an amount equal to the respective purchase price plus undeclared dividends on each share of Legacy BuzzFeed’s Series G and G-1 preferred stock. Next, if proceeds remained, the holders of Legacy BuzzFeed’s Series, A, B, C, D, E and F preferred stock were entitled to receive,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and in preference to all remaining holders of capital stock of Legacy BuzzFeed, pro rata, an amount equal to the respective purchase price plus declared and unpaid dividends on each share of Legacy BuzzFeed’s Series, A, B, C, D, E and F preferred stock. Next, if proceeds remained, the holders of Legacy BuzzFeed’s Series A-1 preferred stock were entitled to receive, in preference to holders of common stock, an amount equal to the purchase price plus declared but unpaid dividends on each share of Legacy BuzzFeed’s Series A-1 preferred stock. After the payment of such preferential amounts, any remaining proceeds would have been distributed pro rata among the holders of common stock.</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proceeds were insufficient to permit payment in full to all holders of Legacy BuzzFeed’s Series G and G-1, the assets would have been distributed ratably to the holders of the Legacy BuzzFeed’s Series G and G-1 preferred stock in proportion to the amount each such holder would otherwise be entitled to receive. If proceeds remained but were insufficient to permit payment in full to all holders of Legacy BuzzFeed’s Series A, B, C, D, E and F preferred stock, the assets would have been distributed ratably to the holders of the Legacy BuzzFeed’s Series A, B, C, D, E and F preferred stock in proportion to the amount each such holder would otherwise have been entitled to receive.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Legacy BuzzFeed’s preferred stock was not redeemable and any redemption rights under the previous agreements for Series A, B, C and D preferred stock have been canceled.</w:t>
      </w:r>
    </w:p>
    <w:p>
      <w:pPr>
        <w:spacing w:after="0" w:line="158"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 represents the interests in BuzzFeed Japan held by Yahoo Japan, which is puttable to the Company in certain conditions, none of which were met at December 31, 2021, including material breach of the JVA by the Company or the bankruptcy or liquidation of the Company. The redeemable noncontrolling interest is presented outside of the permanent equity on the Company’s consolidated balance sheets as the put right is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reconciliation of changes in redeemable noncontrolling interest: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January 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231F20"/>
              </w:rPr>
              <w:t>Merger of BuzzFeed Japan and HuffPost Japan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231F20"/>
              </w:rPr>
              <w:t>Balance as of December 31,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7640" w:firstLine="8"/>
        <w:spacing w:after="0" w:line="503" w:lineRule="auto"/>
        <w:tabs>
          <w:tab w:leader="none" w:pos="6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2008 Stock Plan (the “2008 Plan”) was adopted on June 25, 2008. The Company’s 2015 Equity Incentive Plan (“2015 Plan”) was adopted on October 30, 2015 and superseded the 2008 plan. The 2015 Plan increased the number of Legacy BuzzFeed shares available for grant and issuance to 16,895,765. The 2015 Plan allowed for the grant of incentive and nonqualified stock options, restricted stock units (“RSUs”), and stock appreciation rights to eligible participants.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16, 2018, the 2015 Plan was amended to increase the maximum number of shares of Legacy BuzzFeed common stock available for issuance by 15,700,000. At the time the Equity Incentive Plan (defined below) became effective, 32,595,765 shares of Legacy BuzzFeed common stock had been authorized for issuance under the 2015 Plan. From and after the effectiveness of the Equity Incentive Plan, no additional awards will be granted under the 2015 Plan. Upon the closing of the Business Combination, all outstanding Legacy BuzzFeed stock options under the 2015 Plan and 2008 Plan, whether vested or unvested, were substituted and converted into options to purchase shares of Class A common stock granted in accordance with the Equity Inventive Plan based on the exchange ratio of 0.306. All outstanding Legacy BuzzFeed RSUs under the 2015 Plan and 2008 Plan were substituted and converted into RSUs representing the opportunity to be issued shares of Class A common stock granted in accordance with the Equity Incentive Plan based on the exchange ratio of 0.306.</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2021, the Equity Incentive Plan was adopted by the 890 board and approved by the 890 stockholders prior to closing of the Business Combination and it became effective on the closing of the Business Combination. The Equity Incentive Plan allows the Company to grant awards of stock options, restricted stock awards, stock appreciation rights ("SARs"), RSUs, cash awards, performance awards, and stock bonus awards to officers, employees, directors and consultants. A total of 31,206,550 shares of Class A common stock were reserved for issuance under the Equity Incentive Plan. The number of shares reserved for issuance under the Equity Incentive Plan will increase automatically on January 1 of each year from 2022 through 2031 by the number of shares equal to the lesser of 5% of the total number of outstanding shares of all classes of common stock as of the immediately preceding December 31, or a number as may be determined by the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tcPr>
          <w:p>
            <w:pPr>
              <w:jc w:val="center"/>
              <w:ind w:left="3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342"/>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4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6"/>
              </w:rPr>
              <w:t>Shares</w:t>
            </w:r>
            <w:r>
              <w:rPr>
                <w:rFonts w:ascii="Times New Roman" w:cs="Times New Roman" w:eastAsia="Times New Roman" w:hAnsi="Times New Roman"/>
                <w:sz w:val="20"/>
                <w:szCs w:val="20"/>
                <w:b w:val="1"/>
                <w:bCs w:val="1"/>
                <w:color w:val="auto"/>
                <w:w w:val="96"/>
                <w:vertAlign w:val="superscript"/>
              </w:rPr>
              <w:t>(1)</w:t>
            </w:r>
          </w:p>
        </w:tc>
        <w:tc>
          <w:tcPr>
            <w:tcW w:w="140" w:type="dxa"/>
            <w:vAlign w:val="bottom"/>
          </w:tcPr>
          <w:p>
            <w:pPr>
              <w:spacing w:after="0"/>
              <w:rPr>
                <w:sz w:val="15"/>
                <w:szCs w:val="15"/>
                <w:color w:val="auto"/>
              </w:rPr>
            </w:pPr>
          </w:p>
        </w:tc>
        <w:tc>
          <w:tcPr>
            <w:tcW w:w="1100" w:type="dxa"/>
            <w:vAlign w:val="bottom"/>
          </w:tcPr>
          <w:p>
            <w:pPr>
              <w:jc w:val="center"/>
              <w:ind w:left="342"/>
              <w:spacing w:after="0" w:line="176" w:lineRule="exact"/>
              <w:rPr>
                <w:sz w:val="20"/>
                <w:szCs w:val="20"/>
                <w:color w:val="auto"/>
              </w:rPr>
            </w:pPr>
            <w:r>
              <w:rPr>
                <w:rFonts w:ascii="Times New Roman" w:cs="Times New Roman" w:eastAsia="Times New Roman" w:hAnsi="Times New Roman"/>
                <w:sz w:val="14"/>
                <w:szCs w:val="14"/>
                <w:b w:val="1"/>
                <w:bCs w:val="1"/>
                <w:color w:val="auto"/>
                <w:w w:val="94"/>
              </w:rPr>
              <w:t>Price</w:t>
            </w:r>
            <w:r>
              <w:rPr>
                <w:rFonts w:ascii="Times New Roman" w:cs="Times New Roman" w:eastAsia="Times New Roman" w:hAnsi="Times New Roman"/>
                <w:sz w:val="20"/>
                <w:szCs w:val="20"/>
                <w:b w:val="1"/>
                <w:bCs w:val="1"/>
                <w:color w:val="auto"/>
                <w:w w:val="94"/>
                <w:vertAlign w:val="superscript"/>
              </w:rPr>
              <w:t>(1)</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3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and weighted average exercise price have been retroactively adjusted to give effect to the exchange ratio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0.306.</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are generally granted for a term of 10 years from the date of grant. Options granted under the plans may be exercised prior to vesting. Stock options generally vest over four years based on service.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is estimated on the date of grant using the Black-Scholes option-pricing model based upon the following range of assumptions:</w:t>
      </w:r>
    </w:p>
    <w:p>
      <w:pPr>
        <w:spacing w:after="0" w:line="173"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32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2020(1)</w:t>
            </w:r>
          </w:p>
        </w:tc>
        <w:tc>
          <w:tcPr>
            <w:tcW w:w="14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2019(1)</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$9.25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1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6.07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6.07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0.80%</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0.26%</w:t>
            </w: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 2.35%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Exercise prices have been retroactively adjusted to give effect to the exchange ratio of 0.306.</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simplified method in accordance with the applicable authoritative guidance to estimate the expected term of the option, due to the limited historical experience to date. The risk-free rate for the expected term of the option is based on the U.S. Treasury yield curve in effect at the time of grant. Since the Company’s common stock is not publicly traded for a sufficient time period, the expected volatility is based on expected volatilities of similar companies that have a history of being publicly traded. No dividends have been assumed.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stock-based compensation expense on a straight-line basis over the vesting period. As of December 31, 2021, the total share-based compensation costs not yet recognized related to unvested stock options was $2.2 million, which is expected to be recognized over the weighted-average remaining requisite service period of 1.3 years. The weighted average fair value of stock options granted during December 31, 2021, 2020 and 2019 was $1.23, $1.03, and $1.01 respectively. The intrinsic value of stock options exercised was $13.8 million, $0.4 million, and $1.6 million for the years ended December 31, 2021, 2020 and 2019,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activity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440" w:type="dxa"/>
            <w:vAlign w:val="bottom"/>
          </w:tcPr>
          <w:p>
            <w:pPr>
              <w:spacing w:after="0"/>
              <w:rPr>
                <w:sz w:val="12"/>
                <w:szCs w:val="12"/>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4"/>
              </w:rPr>
              <w:t>Value</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weighted average grant-date fair value have been retroactively adjusted to give effect to the exchange ratio of 0.306.</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there was approximately $29.1 million of unrecognized compensation costs related to RSUs. Included in the above are 2.5 million RSUs that vest based on service and upon the occurrence of a sale transaction ("Acquisition") or the completion of an initial public offering. The Two-Step Merger did not result in the satisfaction of this liquidity condition as it does not meet the definition of an Acquisition per the award agreements. Unrecognized compensation costs related to these RSUs totaled $21.2 million at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closing of the Two-Step Merger satisfied the liquidity condition in 2.7 million RSUs. As a result, $16.0 million of compensation cost associated with service rendered prior to the Two-Step Merger was recognized at Closing. $2.2 million, $4.4 million, $8.7 million, and $0.8 million of this was reflected in cost of revenue, excluding depreciation and amortization, sales and marketing, general and administrative, and research and development within the consolidated statement of operations,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Escrowed Shares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our Chief Executive Officer and Founder, Jonah Peretti, Jonah Peretti, LLC, NBCUniversal Media, LLC (“NBCU”) and PNC Bank National Association, entered into an escrow agreement (the “Escrow Agreement”). The Escrow Agreement provides for, among other things, the escrow of 1,200,000 shares of New BuzzFeed Class A common stock or New BuzzFeed Class B common stock (the “Escrowed Shares”) exchangeable by Jonah Peretti, LLC in connection with the Two-Step Merger. Pursuant to the Escrow Agreement, in the event the Transfer Date SPAC Share Price (as defined in the Escrow Agreement) is less than $12.50 per share on the Transfer Date (as defined in the Escrow Agreement), Jonah Peretti, LLC and NBCU shall instruct the escrow agent to transfer (1) to NBCU a number of Escrowed Shares equal to the Make Whole Shares (as defined in the Escrow Agreement) and (2) to Mr. Peretti, the remainder of the Escrowed Shares, if any. If the Transfer Date SPAC Share Price is equal to or greater than $12.50 on the Transfer Date, Jonah Peretti, LLC and NBCU shall instruct the escrow agent to transfer all of the Escrowed Shares to Mr. Peretti.</w:t>
      </w:r>
    </w:p>
    <w:p>
      <w:pPr>
        <w:spacing w:after="0" w:line="1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Escrow Agreement was accounted for as a compensatory stock-based compensation award with a market condition. As there are no future service conditions, the $5.4 million fair value of the award was recognized within general and administrative expense at the time of closing of the Business Combination. The fair value was estimated using a model based on multiple stock price paths developed through the use of a Monte Carlo simulation that incorporates into the valuation the likelihood that the market condition will be satisfied.</w:t>
      </w:r>
    </w:p>
    <w:p>
      <w:pPr>
        <w:spacing w:after="0" w:line="17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Basic net income (loss) per share is computed using the weighted average number of shares of common stock outstanding for the period. Diluted net income (loss) per share reflects the effect of the assumed exercise of stock options, the vesting of restricted stock units, the exercise of warrants, the conversion of the Notes, and the conversion of convertible preferred stock only in the periods in which such effect would have been dilutive.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Undistributed earnings were allocated to convertible preferred stock and shares of Class A common stock, Class B common stock, and Class C common stock based on the contractual participation rights of each as if earnings for the year had been distributed. Holders of convertible preferred stock were entitled to noncumulative annual dividends at a rate of 8% of the applicable original issue price when, as and if declared by the Company’s board of directors and prior to and in preference of payment of dividends on the Company’s common stock. Thereafter, dividends were distributed among holders of Class A common stock, Class B common stock</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convertible preferred stock on a proportionate basis, based on the number of shares of common stock that would be held by each holder if all shares of convertible preferred stock were converted to Class B common stock at the then effective conversion rate.</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convertible preferred stock did not participate in losses and, accordingly, losses for the year ended December 31, 2019 were allocated entirely to holders of Class A, Class B, and Class C common stock. For the years ended December 31, 2021, 2020, and 2019, net loss per share amounts were the same for Class A, Class B, and Class C common stock because the holders of each class are entitled to equal per share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income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25,876</w:t>
            </w:r>
          </w:p>
        </w:tc>
        <w:tc>
          <w:tcPr>
            <w:tcW w:w="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Net income attributable to noncontrolling interests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Allocation of undistributed earnings to convertible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24,712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231F20"/>
              </w:rPr>
              <w:t>Net income (loss) attributable to holders of Class A, Class B, and Class C</w:t>
            </w:r>
          </w:p>
        </w:tc>
        <w:tc>
          <w:tcPr>
            <w:tcW w:w="28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(37,192)</w:t>
            </w:r>
          </w:p>
        </w:tc>
        <w:tc>
          <w:tcPr>
            <w:tcW w:w="0" w:type="dxa"/>
            <w:vAlign w:val="bottom"/>
          </w:tcPr>
          <w:p>
            <w:pPr>
              <w:spacing w:after="0"/>
              <w:rPr>
                <w:sz w:val="1"/>
                <w:szCs w:val="1"/>
                <w:color w:val="auto"/>
              </w:rPr>
            </w:pPr>
          </w:p>
        </w:tc>
      </w:tr>
      <w:tr>
        <w:trPr>
          <w:trHeight w:val="126"/>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common stock for basic net income (loss) per share</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continue"/>
          </w:tcPr>
          <w:p>
            <w:pPr>
              <w:spacing w:after="0"/>
              <w:rPr>
                <w:sz w:val="10"/>
                <w:szCs w:val="10"/>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continue"/>
          </w:tcPr>
          <w:p>
            <w:pPr>
              <w:spacing w:after="0"/>
              <w:rPr>
                <w:sz w:val="10"/>
                <w:szCs w:val="10"/>
                <w:color w:val="auto"/>
              </w:rPr>
            </w:pPr>
          </w:p>
        </w:tc>
        <w:tc>
          <w:tcPr>
            <w:tcW w:w="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Add: interest on Notes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Deduct: change in fair value of derivative liability</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Reallocation of undistributed earnings to convertible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231F20"/>
              </w:rPr>
              <w:t>Net income (loss) attributable to holders of Class A, Class B, and Class C</w:t>
            </w:r>
          </w:p>
        </w:tc>
        <w:tc>
          <w:tcPr>
            <w:tcW w:w="28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(37,192)</w:t>
            </w:r>
          </w:p>
        </w:tc>
        <w:tc>
          <w:tcPr>
            <w:tcW w:w="0" w:type="dxa"/>
            <w:vAlign w:val="bottom"/>
          </w:tcPr>
          <w:p>
            <w:pPr>
              <w:spacing w:after="0"/>
              <w:rPr>
                <w:sz w:val="1"/>
                <w:szCs w:val="1"/>
                <w:color w:val="auto"/>
              </w:rPr>
            </w:pPr>
          </w:p>
        </w:tc>
      </w:tr>
      <w:tr>
        <w:trPr>
          <w:trHeight w:val="126"/>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common stock for diluted net income (loss) per share</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continue"/>
          </w:tcPr>
          <w:p>
            <w:pPr>
              <w:spacing w:after="0"/>
              <w:rPr>
                <w:sz w:val="10"/>
                <w:szCs w:val="10"/>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continue"/>
          </w:tcPr>
          <w:p>
            <w:pPr>
              <w:spacing w:after="0"/>
              <w:rPr>
                <w:sz w:val="10"/>
                <w:szCs w:val="10"/>
                <w:color w:val="auto"/>
              </w:rPr>
            </w:pPr>
          </w:p>
        </w:tc>
        <w:tc>
          <w:tcPr>
            <w:tcW w:w="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Impact of assumed conversion of Notes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Weighted average common shares outstanding, diluted</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Net income (loss) per common share,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income (loss) per common share,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net income (loss) per share as the effect would have been anti-dilutive: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231F20"/>
              </w:rPr>
              <w:t>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Warrants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94,360</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calculation of diluted net income (loss) per share excluded 2.4 million, 2.5 million, and 2.6 million restricted stock units at December 31, 2021, 2020, and 2019, respectively, for which the related liquidity condition had not been met.</w:t>
      </w:r>
    </w:p>
    <w:p>
      <w:pPr>
        <w:spacing w:after="0" w:line="15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domestic and foreign components of income (loss) before provision for income taxes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r>
      <w:tr>
        <w:trPr>
          <w:trHeight w:val="20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w:t>
            </w:r>
          </w:p>
        </w:tc>
      </w:tr>
      <w:tr>
        <w:trPr>
          <w:trHeight w:val="20"/>
        </w:trPr>
        <w:tc>
          <w:tcPr>
            <w:tcW w:w="3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82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(benefit) / provision</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(benefit) / provision</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(benefit) / provision</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(23,020)</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(benefit) / provision</w:t>
            </w:r>
          </w:p>
        </w:tc>
        <w:tc>
          <w:tcPr>
            <w:tcW w:w="960" w:type="dxa"/>
            <w:vAlign w:val="bottom"/>
          </w:tcPr>
          <w:p>
            <w:pPr>
              <w:spacing w:after="0"/>
              <w:rPr>
                <w:sz w:val="18"/>
                <w:szCs w:val="18"/>
                <w:color w:val="auto"/>
              </w:rPr>
            </w:pPr>
          </w:p>
        </w:tc>
        <w:tc>
          <w:tcPr>
            <w:tcW w:w="94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Pr>
          <w:p>
            <w:pPr>
              <w:spacing w:after="0"/>
              <w:rPr>
                <w:sz w:val="18"/>
                <w:szCs w:val="18"/>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 provision</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(23,036)</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 provision</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of 21% for the years ended December 31, 2021, 2020 and 2019 to the Company’s effective tax rate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(benefit) provision at the U.S. federal statutory rate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tax rates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Sale of foreign subsidiary</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tax credits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&amp; transactions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adjustments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2021, 2020 and 2019, the Company’s effective tax rate was 5,000.8%, 7.8% and 1.0% respectively.For the year ended December 31, 2021, the Company’s effective tax rate differed from the U.S. federal statutory income tax rate of 21% primarily related to the partial release of the Company’s U.S. valuation allowance as a result of certain business combinations consummated during 2021. The Company recorded excess deferred tax liabilities related to the business combinations which provided a source of future taxable income to support partial realization of the Company’s pre-existing deferred tax assets. The income tax benefit related to the change in valuation allowance was offset by an income tax provision for foreign taxes. For the years ended December 31, 2020 and 2019, the Company’s effective tax rate differed from the U.S. federal statutory income tax rate of 21% primarily due to a valuation allowance against net deferred tax assets that were not realizable on a more-likely-than-not basis.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27, 2020, the U.S. government enacted the Coronavirus Aid, Relief, and Economic Security (“CARES”) Act. The CARES Act included several measures to assist companies including temporary changes to income and non-income based tax laws. Several significant tax-related provisions of the CARES Act included (1) allowing net operating loss (NOL) carryforwards originating in 2018, 2019 or 2020 to be carried back to the prior five tax years, (2) eliminating the 80% taxable income limitation by allowing corporate entities to fully utilize NOL carryforwards to offset taxable income in 2018, 2019 or 2020, (3) increasing the net interest expense deduction limitation to 50% of adjusted taxable income from 30% for the 2019 and 2020 tax years, (4) allowing taxpayers with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alternative minimum tax credits to claim a refund in 2020 for the entire amount of the credit instead of recovering the credit through refunds over a period of years and (5) allowing companies to deduct more of their cash charitable contributions paid during calendar year 2020 by increasing the taxable income limitation to 25% from 10%. The income tax provisions of the CARES Act had limited applicability to the Company and did not have a material impact on the Company’s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as of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40" w:type="dxa"/>
            <w:vAlign w:val="bottom"/>
            <w:gridSpan w:val="2"/>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93,592</w:t>
            </w:r>
          </w:p>
        </w:tc>
        <w:tc>
          <w:tcPr>
            <w:tcW w:w="38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Bad debt</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rent</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(66,848)</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state income tax</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(1,596)</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(1,905)</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(37,352)</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760" w:type="dxa"/>
            <w:vAlign w:val="bottom"/>
          </w:tcPr>
          <w:p>
            <w:pPr>
              <w:spacing w:after="0"/>
              <w:rPr>
                <w:sz w:val="18"/>
                <w:szCs w:val="18"/>
                <w:color w:val="auto"/>
              </w:rPr>
            </w:pPr>
          </w:p>
        </w:tc>
        <w:tc>
          <w:tcPr>
            <w:tcW w:w="108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8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deferred tax assets are included within prepaid and other assets and net deferred tax liabilities are included within other liabilities on the Company’s consolidated balance sheets.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considered whether it is more likely than not that some portion or all of the deferred tax assets will not be realized. Based upon the weight of available evidence, the Company concluded it is more likely than not that it will not be able to realize its U.S. deferred tax assets and therefore has maintained a full valuation allowance on its U.S. deferred tax assets. In addition, the Company maintains a valuation allowance against certain deferred tax assets in the UK, Spain, Japan and Canada. The Company’s valuation allowance decreased by approximately $17.1 million in 2021.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has U.S. federal and state net operating losses of approximately $314.5 million and $11.3 million, respectively. Of the $314.5 million of U.S. federal net operating losses, $201.5 million expire in tax year beginning 2030 through 2039 if not utilized and $113.0 that has an indefinite lived carryforward period. The $11.3 million of state net operating losses will expire in tax years beginning in 2025 to 2041 if not utilized. As of December 31, 2021, the Company has foreign net operating loss carryforwards of $29.2 million which will begin to expire in 2026. Utilization of net operating losses and tax credit carryforwards are subject to certain limitations under Section 382 of the Internal Revenue Code of 1986, as amended, in the event of a change in the Company’s ownership, as defined in current income tax regulations.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has deferred interest expense carryforwards under IRC Section 163(j) of $3.2 million which may be carried forward indefinitely but only available to offset 30% of tax adjusted EBIT. In addition, the Company had federal research and development tax credits of approximately $8.1 million, which expire in the tax years beginning in 2032 through 2041, if not utilized.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current taxation of certain foreign subsidiaries under GILTI and one-time transition taxation enacted as part of the Tax Cut and Jobs Act, the Company intends to continue to reinvest its foreign earnings indefinitely outside the U.S. If these future earnings are repatriated to the U.S., or if the Company determines that such earnings will be remitted in the foreseeable future, the Company may be required to accrue U.S. deferred taxes (if any) and applicable withholding taxes. It is not practicable to estimate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impact of the reversal of the outside basis difference, or the repatriation of cash due to the complexity of its hypothetical calculation.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applies the applicable authoritative guidance which prescribes a comprehensive model in which a company should recognize, measure, present and disclose in its financial statements all material uncertain tax positions that the Company has taken or expects to take on a tax return. The Company recognizes interest and penalties related to income tax positions taken on the Company’s tax returns in income tax expense in the consolidated statements of operations. As of December 31, 2021, the Company recorded an uncertain tax position of $nil including interest and penalties related to state taxes. As of December 31, 2020 and 2019, the Company had no uncertain tax positions.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earliest years’ tax returns filed by the Company that are still subject to examination by the tax authorities in the major jurisdictions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0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2016</w:t>
            </w:r>
          </w:p>
        </w:tc>
      </w:t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189"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the Company announced a restructuring of HuffPost, including employee terminations, in order to efficiently integrate the HuffPost Acquisition and establish an efficient cost structure.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Company incurred $9.6 million in restructuring costs, of which $4.4 million were included in cost of revenue, excluding depreciation and amortization, $2.2 million were included in general and administrative, $1.6 million were included in sales and marketing, and $1.4 million were included in research and development.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2021 and 2020, there were no liabilities related to restructuring.</w:t>
      </w:r>
    </w:p>
    <w:p>
      <w:pPr>
        <w:spacing w:after="0" w:line="221" w:lineRule="exact"/>
        <w:rPr>
          <w:sz w:val="20"/>
          <w:szCs w:val="20"/>
          <w:color w:val="auto"/>
        </w:rPr>
      </w:pPr>
    </w:p>
    <w:p>
      <w:pPr>
        <w:ind w:right="6720" w:firstLine="8"/>
        <w:spacing w:after="0" w:line="503" w:lineRule="auto"/>
        <w:tabs>
          <w:tab w:leader="none" w:pos="64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various expiration dates through 2029.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 Rent expense for the years ended December 31, 2021, 2020 and 2019 were $18.5 million, $25.7 million and $24.8 million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leases having initial or remaining non-cancelable lease terms in excess of one year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09"/>
        </w:trPr>
        <w:tc>
          <w:tcPr>
            <w:tcW w:w="8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Sublease income for the years ended December 31, 2021, 2020 and 2019 were $6.8 million, $6.1 million and $2.7 million respectively. Sublease receipts to be received in the future under noncancelable sublease as of December 31,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9"/>
        </w:trPr>
        <w:tc>
          <w:tcPr>
            <w:tcW w:w="8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2018, at the time of its equity investment in a private company, the Company agreed to guarantee the lease of the investee’s premises in New York. In October 2020, the investee renewed its lease agreement, and the Company’s prior guarantee was replaced with a new guarantee of up to $5.4 million. The amount of the guarantee is reduced as the investee makes payments under the lease. As of December 31, 2021, the maximum amount of the guarantee was $2.7 million, and no liability was recognized with respect to the guarantee.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consolidated financial statements is not known, we do not believe that the resolution of these matters will have a material adverse effect on the Company’s future results of operations or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fiscal years ended December 31, 2021, 2020 and 2019 that did not individually or in the aggregate have a material impact on the Company’s business or its consolidated financial position, results of operations or cash flows.</w:t>
      </w:r>
    </w:p>
    <w:p>
      <w:pPr>
        <w:spacing w:after="0" w:line="17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consolidated financial statements.</w:t>
      </w:r>
    </w:p>
    <w:p>
      <w:pPr>
        <w:spacing w:after="0" w:line="189"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June 2021, BuzzFeed entered into a Commercial Agreement with NBCU, a holder of at least 5% of Class A common stock, pursuant to which, among other things, effective on the closing of the Business Combination: (1) NBCU will continue to be entitled to</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marketing services on BuzzFeed platforms at certain discounted rates; (2) BuzzFeed will provide editorial promotion of at least $1.0 million in marketing value during each year of the term of the Commercial Agreement across BuzzFeed’s digital properties at no cost to NBCU, its affiliates and joint ventures and their respective brands; (3) BuzzFeed will provide licensed content to NBCU to be made available on an applicable NBCU entity streaming service under certain exclusivity terms during the remainder of the term of the Commercial Agreement; (4) NBCU shall be the exclusive sales representative for all BuzzFeed inventory, including HuffPost inventory, on Apple News and BuzzFeed shall endeavor to spend at least $1.0 million during the first year of the term of the Commercial Agreement to promote any of its commerce initiatives; and (5) BuzzFeed will provide 200 million impressions per year of the term of the Commercial Agreement to drive traffic from the BuzzFeed platforms and third-party social media platforms to NBCU news properties. The Commercial Agreement shall continue to be in effect for a period of three years, unless earlier terminated by either party in accordance with its terms and conditions, or until terminated by BuzzFeed as of the date that NBCU realizes $400.0 million or more in value for the NBCU Base Shares (as defined in the Escrow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also entered into certain partnership agreements with NBCU in 2018, 2019, and 2020.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revenue from NBCU of $2.9 million, $3.6 million and $9.9 million for the years ended December 31, 2021, 2020, and 2019, respectively. The Company recognized expenses under contractual obligations from NBCU of $1.1 million, $0.8 million and $0.7 million for the years ended December 31, 2021, 2020 and 2019, respectively. The Company had outstanding receivable balances of $1.2 million and $nil from NBCU as of December 31, 2021 and 2020, respectively. The Company had outstanding payable balances of $0.3 million and $nil to NBCU as of December 31, 2021 and 2020, respectively.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2018, the Company invested $1.8 million in the equity of a private company. At the time of investment, an executive of BuzzFeed was the controlling stockholder of the investee. Effective August 26, 2019 the Company and the former executive entered into a consultancy arrangement whereby the Company engaged the former executive to provide advice and counsel. During the year ended December 31, 2019, the Company incurred $0.4 million in respect of such consultancy charges. The agreement expired on March 31, 2020. The Company earned revenue under an agreement with the investee of $0.5 million and $1.4 million during the years ended December 31, 2021 and December 31, 2020, respectively, and incurred costs under contractual obligations from the investee of $nil million, $0.2 million, and $2.0 million for the years ended December 31, 2021, December 31, 2020, and December 31, 2019, respectively. These costs are included in the consolidated statements of operations in cost of revenue. The Company had outstanding receivable balances of $nil million and $0.9 from the investee as of December 31, 2021 and 2020, respectively. Additionally, the Company has guaranteed a lease of the investee. Refer to Note 17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paid for income taxes,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231F20"/>
              </w:rPr>
              <w:t>Cash paid for interest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Non-cash investing and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Accounts payable and accrued expenses related to property and equipment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187</w:t>
            </w: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Issuance of common stock for HuffPost Acquisition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Issuance of common stock for C Acquisition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Warrants assumed as part of the business combination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Accrued reverse recapitalization costs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demands.The Company expects to record total pre-tax restructuring charges of approximately $1.7 million, comprised mainly of severance and related benefit costs. The restructuring actions associated with this charge are expected to be substantially complete in Q1 2022.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will be negotiated as part of collective bargaining. The Company has not yet shared its voluntary buyout proposal with non-unit BuzzFeed News employees, but it plans to do so. Employees who meet the eligibility requirements for the voluntary buyout will have 45 days to accept the Company’s offer after it has been formally communicated.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2021,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a lack of sufficient levels of staff with public company and technical accounting experience; and (c) the selection and development of control activities, including information technology general controls.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2021, with the oversight of senior management, we have hired and will continue to hire additional accounting personnel with technical accounting and financial reporting experience. We have also supplemented accounting resources with external advisors to assist with performing technical accounting activities. We are in the process of identifying and implementing the specific controls to remediate the material weaknesses. A prior year material weakness specific to formalized risk assessments, including the assessment of fraud risk, has been remediated as of December 31, 2021.</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management designed remediation plans in 2021, due to resources constraints and lack of sufficient staff with technical expertise, the necessary business process and IT general controls were partially implemented or not executed consistently; thus, material weaknesses in our internal control environment were concluded. 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2022 and will make the changes we determine to be appropriate.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Exchange Act Rules 13a-15(e) and 15d-15(e)) as of the end of the period covered by this report. In making this evaluation, management considered the material weakness in our internal controls over financial reporting described above. Based upon that evaluation, our Chief Executive Officer and Chief Financial Officer concluded that, as of December 31, 2021, the period covered in this report, our disclosure controls and procedures were not effective.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and that material weaknesses existed as of December 31, 2021, we believe that we have performed sufficient supplementary procedures to ensure that the consolidated financial statements contained in this filing fairly present our financial position, results of operations and cash flows for the reporting periods covered herein in all material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elsewhere in this Annual Report on Form 10-K, we completed the Business Combination on December 3,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In addition, the previously identified and disclosed material weaknesses in connection with the accounting for certain complex financial instruments (such as the warrants) have been absorbed in the material weaknesses in internal control over financial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reporting of the consolidated entity post-Business Combination as discussed above. The design of internal controls over financial reporting for the Company post-Business Combination has required and will continue to require significant time and resources from management and other personnel. We have, since the closing of the Business Combination, engaged in the process of design and implementation of our internal control over financial reporting in a manner commensurate with the scale of our operations However, the design of internal control over financial reporting for our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 2021, the Company acquired Complex Networks (see Note 3 to the accompanying consolidated financial statements). We are currently integrating policies, processes, people, technology and operations for the combined company. Management will continue to evaluate our internal control over financial reporting as we execute integration activities. Other than as noted above, and in connection with the implementation of the remedial measures described above, there were no changes in our internal control over financial reporting (as such term is defined in Rules 13a-15(f) and 15d-15(f) of the Exchange Act) during the quarter ended December 31, 2021 that have materially affected, or are reasonably likely to materially affect, our internal control over financial reporting.</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2022 Annual Meeting of Stockholders, to be filed with the SEC within 120 days of the year ended December 31, 2021,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2022 Annual Meeting of Stockholders, to be filed with the SEC within 120 days of the year ended December 31, 2021,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2022 Annual Meeting of Stockholders, to be filed with the SEC within 120 days of the year ended December 31, 2021,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2022 Annual Meeting of Stockholders, to be filed with the SEC within 120 days of the year ended December 31, 2021,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2022 Annual Meeting of Stockholders, to be filed with the SEC within 120 days of the year ended December 31, 2021,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Consolidated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financial statements are included in Part II, 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consolidated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74"/>
        </w:trPr>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5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8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584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Agreement and Plan of Merger, dated as of June 24, 2021, by and among 890 5th</w:t>
              </w:r>
            </w:hyperlink>
          </w:p>
        </w:tc>
        <w:tc>
          <w:tcPr>
            <w:tcW w:w="320" w:type="dxa"/>
            <w:vAlign w:val="bottom"/>
            <w:tcBorders>
              <w:top w:val="single" w:sz="8" w:color="auto"/>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Avenue Partners, Inc., Bolt Merger Sub I, Inc., Bolt Merger Sub II, Inc., and</w:t>
              </w:r>
            </w:hyperlink>
          </w:p>
        </w:tc>
        <w:tc>
          <w:tcPr>
            <w:tcW w:w="82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0">
              <w:r>
                <w:rPr>
                  <w:rFonts w:ascii="Times New Roman" w:cs="Times New Roman" w:eastAsia="Times New Roman" w:hAnsi="Times New Roman"/>
                  <w:sz w:val="18"/>
                  <w:szCs w:val="18"/>
                  <w:color w:val="0000EE"/>
                  <w:w w:val="97"/>
                </w:rPr>
                <w:t>BuzzFeed, Inc.</w:t>
              </w:r>
            </w:hyperlink>
          </w:p>
        </w:tc>
        <w:tc>
          <w:tcPr>
            <w:tcW w:w="5220" w:type="dxa"/>
            <w:vAlign w:val="bottom"/>
            <w:gridSpan w:val="20"/>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6/24/2021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7"/>
                <w:szCs w:val="17"/>
                <w:color w:val="auto"/>
              </w:rPr>
            </w:pPr>
          </w:p>
        </w:tc>
        <w:tc>
          <w:tcPr>
            <w:tcW w:w="6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No. 1 to Agreement and Plan of Merger, dated as of October 28, 2021,</w:t>
              </w:r>
            </w:hyperlink>
          </w:p>
        </w:tc>
        <w:tc>
          <w:tcPr>
            <w:tcW w:w="30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gridSpan w:val="2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by and among 890 5th Avenue Partners, Inc., Bolt Merger Sub I, Inc., Bolt Merger</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Sub II, Inc., and BuzzFeed, Inc.</w:t>
              </w:r>
            </w:hyperlink>
          </w:p>
        </w:tc>
        <w:tc>
          <w:tcPr>
            <w:tcW w:w="3620" w:type="dxa"/>
            <w:vAlign w:val="bottom"/>
            <w:tcBorders>
              <w:top w:val="single" w:sz="8" w:color="0000EE"/>
            </w:tcBorders>
            <w:gridSpan w:val="11"/>
          </w:tcPr>
          <w:p>
            <w:pPr>
              <w:spacing w:after="0"/>
              <w:rPr>
                <w:sz w:val="17"/>
                <w:szCs w:val="17"/>
                <w:color w:val="auto"/>
              </w:rPr>
            </w:pPr>
          </w:p>
        </w:tc>
        <w:tc>
          <w:tcPr>
            <w:tcW w:w="380" w:type="dxa"/>
            <w:vAlign w:val="bottom"/>
            <w:gridSpan w:val="6"/>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10/29/2021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Membership Interest Purchase Agreement, dated as of March 27, 2021, by and</w:t>
              </w:r>
            </w:hyperlink>
          </w:p>
        </w:tc>
        <w:tc>
          <w:tcPr>
            <w:tcW w:w="64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among BuzzFeed, Inc., CM Partners, LLC, Complex Media, Inc., Verizon CMP</w:t>
              </w:r>
            </w:hyperlink>
          </w:p>
        </w:tc>
        <w:tc>
          <w:tcPr>
            <w:tcW w:w="56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Holdings LLC and HDS II, Inc.</w:t>
              </w:r>
            </w:hyperlink>
          </w:p>
        </w:tc>
        <w:tc>
          <w:tcPr>
            <w:tcW w:w="4020" w:type="dxa"/>
            <w:vAlign w:val="bottom"/>
            <w:gridSpan w:val="18"/>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5"/>
              </w:rPr>
              <w:t>S-4</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7/30/2021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Amendment No. 1 to the Membership Interest Purchase Agreement, dated as of June</w:t>
              </w:r>
            </w:hyperlink>
          </w:p>
        </w:tc>
        <w:tc>
          <w:tcPr>
            <w:tcW w:w="2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24, 2021, by and among BuzzFeed, Inc., CM Partners, LLC, Complex Media, Inc.,</w:t>
              </w:r>
            </w:hyperlink>
          </w:p>
        </w:tc>
        <w:tc>
          <w:tcPr>
            <w:tcW w:w="34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Verizon CMP Holdings LLC and HDS II, Inc.</w:t>
              </w:r>
            </w:hyperlink>
          </w:p>
        </w:tc>
        <w:tc>
          <w:tcPr>
            <w:tcW w:w="3000" w:type="dxa"/>
            <w:vAlign w:val="bottom"/>
            <w:gridSpan w:val="14"/>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5"/>
              </w:rPr>
              <w:t>S-4</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7/30/2021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5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Second Amended and Restated Certificate of Incorporation of BuzzFeed, Inc.</w:t>
              </w:r>
            </w:hyperlink>
          </w:p>
        </w:tc>
        <w:tc>
          <w:tcPr>
            <w:tcW w:w="720" w:type="dxa"/>
            <w:vAlign w:val="bottom"/>
            <w:gridSpan w:val="10"/>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12/9/2021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Restated Bylaws of BuzzFeed, Inc.</w:t>
              </w:r>
            </w:hyperlink>
          </w:p>
        </w:tc>
        <w:tc>
          <w:tcPr>
            <w:tcW w:w="3780" w:type="dxa"/>
            <w:vAlign w:val="bottom"/>
            <w:gridSpan w:val="16"/>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12/9/2021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2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Specimen Common Stock Certificate.</w:t>
              </w:r>
            </w:hyperlink>
          </w:p>
        </w:tc>
        <w:tc>
          <w:tcPr>
            <w:tcW w:w="3580" w:type="dxa"/>
            <w:vAlign w:val="bottom"/>
            <w:gridSpan w:val="15"/>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6300" w:type="dxa"/>
            <w:vAlign w:val="bottom"/>
            <w:gridSpan w:val="2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Specimen Warrant Certificate.</w:t>
              </w:r>
            </w:hyperlink>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1/6/2021</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6300" w:type="dxa"/>
            <w:vAlign w:val="bottom"/>
            <w:gridSpan w:val="2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Indenture, dated December 3, 2021, by and between BuzzFeed, Inc. and Wilmington</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Savings Fund Society, a federal savings bank, as Trustee.</w:t>
              </w:r>
            </w:hyperlink>
          </w:p>
        </w:tc>
        <w:tc>
          <w:tcPr>
            <w:tcW w:w="220" w:type="dxa"/>
            <w:vAlign w:val="bottom"/>
            <w:gridSpan w:val="3"/>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12/9/2021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Form of Global Note (included in Exhibit 4.3).</w:t>
              </w:r>
            </w:hyperlink>
          </w:p>
        </w:tc>
        <w:tc>
          <w:tcPr>
            <w:tcW w:w="740" w:type="dxa"/>
            <w:vAlign w:val="bottom"/>
            <w:tcBorders>
              <w:top w:val="single" w:sz="8" w:color="0000EE"/>
            </w:tcBorders>
          </w:tcPr>
          <w:p>
            <w:pPr>
              <w:spacing w:after="0"/>
              <w:rPr>
                <w:sz w:val="17"/>
                <w:szCs w:val="17"/>
                <w:color w:val="auto"/>
              </w:rPr>
            </w:pPr>
          </w:p>
        </w:tc>
        <w:tc>
          <w:tcPr>
            <w:tcW w:w="2200" w:type="dxa"/>
            <w:vAlign w:val="bottom"/>
            <w:gridSpan w:val="12"/>
          </w:tcPr>
          <w:p>
            <w:pPr>
              <w:spacing w:after="0"/>
              <w:rPr>
                <w:sz w:val="17"/>
                <w:szCs w:val="17"/>
                <w:color w:val="auto"/>
              </w:rPr>
            </w:pP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12/9/2021</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6300" w:type="dxa"/>
            <w:vAlign w:val="bottom"/>
            <w:gridSpan w:val="21"/>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Description of Registrant’s Securities.</w:t>
              </w:r>
            </w:hyperlink>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Registration Rights Agreement, dated as of December 3,</w:t>
              </w:r>
            </w:hyperlink>
          </w:p>
        </w:tc>
        <w:tc>
          <w:tcPr>
            <w:tcW w:w="36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2021, by and among BuzzFeed, Inc. (f/k/a 890 5th Avenue Partners, Inc.) and the</w:t>
              </w:r>
            </w:hyperlink>
          </w:p>
        </w:tc>
        <w:tc>
          <w:tcPr>
            <w:tcW w:w="30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other parties thereto.</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0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Warrant Agreement, dated January 11, 2021, by and between BuzzFeed, Inc. (f//k/a</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890 5th Avenue Partners, Inc.) and Continental Stock Transfer &amp; Trust Company.</w:t>
              </w:r>
            </w:hyperlink>
          </w:p>
        </w:tc>
        <w:tc>
          <w:tcPr>
            <w:tcW w:w="28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14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Note Subscription Agreement, dated June 24, 2021, by and between 890 5th</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Avenue Partners, Inc., and the undersigned subscribers party thereto.</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Registration Rights Agreement, dated December 3, 2021, by and among BuzzFeed,</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Inc. and the convertible noteholders party thereto.</w:t>
              </w:r>
            </w:hyperlink>
          </w:p>
        </w:tc>
        <w:tc>
          <w:tcPr>
            <w:tcW w:w="2560" w:type="dxa"/>
            <w:vAlign w:val="bottom"/>
            <w:gridSpan w:val="2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BuzzFeed Stockholder Support Agreement.</w:t>
              </w:r>
            </w:hyperlink>
          </w:p>
        </w:tc>
        <w:tc>
          <w:tcPr>
            <w:tcW w:w="2380" w:type="dxa"/>
            <w:vAlign w:val="bottom"/>
            <w:gridSpan w:val="2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16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Sponsor Support Agreement, dated as of June 24, 2021, by and between the Sponsor,</w:t>
              </w:r>
            </w:hyperlink>
          </w:p>
        </w:tc>
      </w:tr>
      <w:tr>
        <w:trPr>
          <w:trHeight w:val="196"/>
        </w:trPr>
        <w:tc>
          <w:tcPr>
            <w:tcW w:w="920" w:type="dxa"/>
            <w:vAlign w:val="bottom"/>
          </w:tcPr>
          <w:p>
            <w:pPr>
              <w:spacing w:after="0"/>
              <w:rPr>
                <w:sz w:val="17"/>
                <w:szCs w:val="17"/>
                <w:color w:val="auto"/>
              </w:rPr>
            </w:pPr>
          </w:p>
        </w:tc>
        <w:tc>
          <w:tcPr>
            <w:tcW w:w="54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BuzzFeed, Inc., 890 5th Avenue Partners, Inc. and the other parties thereto.</w:t>
              </w:r>
            </w:hyperlink>
          </w:p>
        </w:tc>
        <w:tc>
          <w:tcPr>
            <w:tcW w:w="740" w:type="dxa"/>
            <w:vAlign w:val="bottom"/>
            <w:gridSpan w:val="1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614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Holder Voting Agreement, dated July 21, 2021, by and among BuzzFeed, Inc., Jonah</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Peretti, John Johnson III, and Johnson BF, LLC.</w:t>
              </w:r>
            </w:hyperlink>
          </w:p>
        </w:tc>
        <w:tc>
          <w:tcPr>
            <w:tcW w:w="2680" w:type="dxa"/>
            <w:vAlign w:val="bottom"/>
            <w:gridSpan w:val="2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606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Voting Agreement, dated as June 24, 2021, by and among BuzzFeed, Inc. (f/k/a 890</w:t>
              </w:r>
            </w:hyperlink>
          </w:p>
        </w:tc>
        <w:tc>
          <w:tcPr>
            <w:tcW w:w="1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7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5th Avenue Partners, Inc.), 200 Park Avenue Partners, LLC, as the Sponsor, and</w:t>
              </w:r>
            </w:hyperlink>
          </w:p>
        </w:tc>
        <w:tc>
          <w:tcPr>
            <w:tcW w:w="40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Jonah Peretti and each of his permitted transferees pursuant to Section 10.2 of the</w:t>
              </w:r>
            </w:hyperlink>
          </w:p>
        </w:tc>
      </w:tr>
      <w:tr>
        <w:trPr>
          <w:trHeight w:val="196"/>
        </w:trPr>
        <w:tc>
          <w:tcPr>
            <w:tcW w:w="9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Voting Agreement.</w:t>
              </w:r>
            </w:hyperlink>
          </w:p>
        </w:tc>
        <w:tc>
          <w:tcPr>
            <w:tcW w:w="4500" w:type="dxa"/>
            <w:vAlign w:val="bottom"/>
            <w:tcBorders>
              <w:top w:val="single" w:sz="8" w:color="0000EE"/>
            </w:tcBorders>
            <w:gridSpan w:val="27"/>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2021 Equity Incentive Plan.</w:t>
              </w:r>
            </w:hyperlink>
          </w:p>
        </w:tc>
        <w:tc>
          <w:tcPr>
            <w:tcW w:w="4140" w:type="dxa"/>
            <w:vAlign w:val="bottom"/>
            <w:gridSpan w:val="33"/>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Stock Option Agreement under the 2021 Equity Incentive Plan.</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2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RSU Agreement under the 2021 Equity Incentive Plan.</w:t>
              </w:r>
            </w:hyperlink>
          </w:p>
        </w:tc>
        <w:tc>
          <w:tcPr>
            <w:tcW w:w="960" w:type="dxa"/>
            <w:vAlign w:val="bottom"/>
            <w:gridSpan w:val="2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14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Stock Option Substitution Agreement under the 2021 Equity Incentive Plan.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5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of RSU Substitution Agreement under the 2021 Equity Incentive Plan.</w:t>
              </w:r>
            </w:hyperlink>
          </w:p>
        </w:tc>
        <w:tc>
          <w:tcPr>
            <w:tcW w:w="640" w:type="dxa"/>
            <w:vAlign w:val="bottom"/>
            <w:gridSpan w:val="1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596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Restricted Stock Award Agreement under the 2021 Equity Incentive Plan.</w:t>
              </w:r>
            </w:hyperlink>
          </w:p>
        </w:tc>
        <w:tc>
          <w:tcPr>
            <w:tcW w:w="200" w:type="dxa"/>
            <w:vAlign w:val="bottom"/>
            <w:gridSpan w:val="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2021 Employee Stock Purchase Plan.</w:t>
              </w:r>
            </w:hyperlink>
          </w:p>
        </w:tc>
        <w:tc>
          <w:tcPr>
            <w:tcW w:w="3460" w:type="dxa"/>
            <w:vAlign w:val="bottom"/>
            <w:gridSpan w:val="3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Indemnification Agreement.</w:t>
              </w:r>
            </w:hyperlink>
          </w:p>
        </w:tc>
        <w:tc>
          <w:tcPr>
            <w:tcW w:w="3480" w:type="dxa"/>
            <w:vAlign w:val="bottom"/>
            <w:gridSpan w:val="3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Offer Letter, dated August 8, 2018, by and between BuzzFeed, Inc. and Rhonda</w:t>
              </w:r>
            </w:hyperlink>
          </w:p>
        </w:tc>
      </w:tr>
      <w:tr>
        <w:trPr>
          <w:trHeight w:val="196"/>
        </w:trPr>
        <w:tc>
          <w:tcPr>
            <w:tcW w:w="9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Powell.</w:t>
              </w:r>
            </w:hyperlink>
          </w:p>
        </w:tc>
        <w:tc>
          <w:tcPr>
            <w:tcW w:w="5180" w:type="dxa"/>
            <w:vAlign w:val="bottom"/>
            <w:tcBorders>
              <w:top w:val="single" w:sz="8" w:color="0000EE"/>
            </w:tcBorders>
            <w:gridSpan w:val="25"/>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604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Offer Letter, dated September 14, 2015, by and between BuzzFeed, Inc. and Felicia</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DellaFortuna.</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Amended and Restated Escrow Agreement, dated December 3, 2021, by and among</w:t>
              </w:r>
            </w:hyperlink>
          </w:p>
        </w:tc>
      </w:tr>
      <w:tr>
        <w:trPr>
          <w:trHeight w:val="196"/>
        </w:trPr>
        <w:tc>
          <w:tcPr>
            <w:tcW w:w="9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NBCUniversal Media, LLC, Jonah Peretti, Jonah Peretti LLC and PNC Bank,</w:t>
              </w:r>
            </w:hyperlink>
          </w:p>
        </w:tc>
        <w:tc>
          <w:tcPr>
            <w:tcW w:w="44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National Association, as escrow agent.</w:t>
              </w:r>
            </w:hyperlink>
          </w:p>
        </w:tc>
        <w:tc>
          <w:tcPr>
            <w:tcW w:w="3360" w:type="dxa"/>
            <w:vAlign w:val="bottom"/>
            <w:gridSpan w:val="2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Binding Term Sheet, dated June 23, 2021, by and between NBCUniversal Media,</w:t>
              </w:r>
            </w:hyperlink>
          </w:p>
        </w:tc>
      </w:tr>
      <w:tr>
        <w:trPr>
          <w:trHeight w:val="196"/>
        </w:trPr>
        <w:tc>
          <w:tcPr>
            <w:tcW w:w="9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LLC and BuzzFeed, Inc.</w:t>
              </w:r>
            </w:hyperlink>
          </w:p>
        </w:tc>
        <w:tc>
          <w:tcPr>
            <w:tcW w:w="4080" w:type="dxa"/>
            <w:vAlign w:val="bottom"/>
            <w:tcBorders>
              <w:top w:val="single" w:sz="8" w:color="0000EE"/>
            </w:tcBorders>
            <w:gridSpan w:val="24"/>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58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Eighth Amended and Restated Investors’ Rights Agreement, dated as of June 24,</w:t>
              </w:r>
            </w:hyperlink>
          </w:p>
        </w:tc>
        <w:tc>
          <w:tcPr>
            <w:tcW w:w="32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2021, by and among BuzzFeed, Inc. and the other parties thereto.</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60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Loan and Security Agreement, dated December 3, 2021, by</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and among BuzzFeed, Inc., the borrowers thereto, the guarantors thereto and White</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Oak Commercial Finance, LLC.</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Lease, dated December 16, 2014, by and between BuzzFeed, Inc. and 225 Fourth,</w:t>
              </w:r>
            </w:hyperlink>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LLC.</w:t>
              </w:r>
            </w:hyperlink>
          </w:p>
        </w:tc>
        <w:tc>
          <w:tcPr>
            <w:tcW w:w="5500" w:type="dxa"/>
            <w:vAlign w:val="bottom"/>
            <w:tcBorders>
              <w:top w:val="single" w:sz="8" w:color="0000EE"/>
            </w:tcBorders>
            <w:gridSpan w:val="33"/>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2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Change in Control and Severance Plan.</w:t>
              </w:r>
            </w:hyperlink>
          </w:p>
        </w:tc>
        <w:tc>
          <w:tcPr>
            <w:tcW w:w="3320" w:type="dxa"/>
            <w:vAlign w:val="bottom"/>
            <w:gridSpan w:val="2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Letter from Marcum LLP to the U.S Securities and Exchange Commission dated</w:t>
              </w:r>
            </w:hyperlink>
          </w:p>
        </w:tc>
      </w:tr>
      <w:tr>
        <w:trPr>
          <w:trHeight w:val="196"/>
        </w:trPr>
        <w:tc>
          <w:tcPr>
            <w:tcW w:w="9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December 9, 2021.</w:t>
              </w:r>
            </w:hyperlink>
          </w:p>
        </w:tc>
        <w:tc>
          <w:tcPr>
            <w:tcW w:w="4440" w:type="dxa"/>
            <w:vAlign w:val="bottom"/>
            <w:tcBorders>
              <w:top w:val="single" w:sz="8" w:color="0000EE"/>
            </w:tcBorders>
            <w:gridSpan w:val="24"/>
          </w:tcPr>
          <w:p>
            <w:pPr>
              <w:spacing w:after="0"/>
              <w:rPr>
                <w:sz w:val="17"/>
                <w:szCs w:val="17"/>
                <w:color w:val="auto"/>
              </w:rPr>
            </w:pPr>
          </w:p>
        </w:tc>
        <w:tc>
          <w:tcPr>
            <w:tcW w:w="34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List of Subsidiaries.</w:t>
              </w:r>
            </w:hyperlink>
          </w:p>
        </w:tc>
        <w:tc>
          <w:tcPr>
            <w:tcW w:w="4680" w:type="dxa"/>
            <w:vAlign w:val="bottom"/>
            <w:gridSpan w:val="3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160" w:type="dxa"/>
            <w:vAlign w:val="bottom"/>
            <w:gridSpan w:val="42"/>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Consent of Deloitte &amp; Touche LLP, independent registered accounting firm for</w:t>
              </w:r>
            </w:hyperlink>
          </w:p>
        </w:tc>
      </w:tr>
      <w:tr>
        <w:trPr>
          <w:trHeight w:val="196"/>
        </w:trPr>
        <w:tc>
          <w:tcPr>
            <w:tcW w:w="9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BuzzFeed, Inc.</w:t>
              </w:r>
            </w:hyperlink>
          </w:p>
        </w:tc>
        <w:tc>
          <w:tcPr>
            <w:tcW w:w="4580" w:type="dxa"/>
            <w:vAlign w:val="bottom"/>
            <w:tcBorders>
              <w:top w:val="single" w:sz="8" w:color="0000EE"/>
            </w:tcBorders>
            <w:gridSpan w:val="21"/>
          </w:tcPr>
          <w:p>
            <w:pPr>
              <w:spacing w:after="0"/>
              <w:rPr>
                <w:sz w:val="17"/>
                <w:szCs w:val="17"/>
                <w:color w:val="auto"/>
              </w:rPr>
            </w:pPr>
          </w:p>
        </w:tc>
        <w:tc>
          <w:tcPr>
            <w:tcW w:w="480" w:type="dxa"/>
            <w:vAlign w:val="bottom"/>
            <w:gridSpan w:val="1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Power of Attorney (reference is made to the signature page hereto).</w:t>
              </w:r>
            </w:hyperlink>
          </w:p>
        </w:tc>
        <w:tc>
          <w:tcPr>
            <w:tcW w:w="1300" w:type="dxa"/>
            <w:vAlign w:val="bottom"/>
            <w:gridSpan w:val="2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16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Certification of Principal Executive Officer pursuant to Rule 13a-14(a) and 15d-14(a)</w:t>
              </w:r>
            </w:hyperlink>
          </w:p>
        </w:tc>
      </w:tr>
      <w:tr>
        <w:trPr>
          <w:trHeight w:val="196"/>
        </w:trPr>
        <w:tc>
          <w:tcPr>
            <w:tcW w:w="920" w:type="dxa"/>
            <w:vAlign w:val="bottom"/>
          </w:tcPr>
          <w:p>
            <w:pPr>
              <w:spacing w:after="0"/>
              <w:rPr>
                <w:sz w:val="17"/>
                <w:szCs w:val="17"/>
                <w:color w:val="auto"/>
              </w:rPr>
            </w:pPr>
          </w:p>
        </w:tc>
        <w:tc>
          <w:tcPr>
            <w:tcW w:w="60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under the Exchange Act, as adopted pursuant to Section 302 of the Sarbanes-Oxley</w:t>
              </w:r>
            </w:hyperlink>
          </w:p>
        </w:tc>
        <w:tc>
          <w:tcPr>
            <w:tcW w:w="1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Act of 2002.</w:t>
              </w:r>
            </w:hyperlink>
          </w:p>
        </w:tc>
        <w:tc>
          <w:tcPr>
            <w:tcW w:w="5240" w:type="dxa"/>
            <w:vAlign w:val="bottom"/>
            <w:gridSpan w:val="3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12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w:anchor="page117">
              <w:r>
                <w:rPr>
                  <w:rFonts w:ascii="Times New Roman" w:cs="Times New Roman" w:eastAsia="Times New Roman" w:hAnsi="Times New Roman"/>
                  <w:sz w:val="18"/>
                  <w:szCs w:val="18"/>
                  <w:color w:val="0000EE"/>
                  <w:w w:val="99"/>
                </w:rPr>
                <w:t>Certification of Principal Financial Officer pursuant to Rule 13a-14(a) and 15d-14(a)</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117">
              <w:r>
                <w:rPr>
                  <w:rFonts w:ascii="Times New Roman" w:cs="Times New Roman" w:eastAsia="Times New Roman" w:hAnsi="Times New Roman"/>
                  <w:sz w:val="18"/>
                  <w:szCs w:val="18"/>
                  <w:color w:val="0000EE"/>
                  <w:w w:val="99"/>
                </w:rPr>
                <w:t>under the Exchange Act, as adopted pursuant to Section 302 of the Sarbanes-Oxley</w:t>
              </w:r>
            </w:hyperlink>
          </w:p>
        </w:tc>
        <w:tc>
          <w:tcPr>
            <w:tcW w:w="1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17">
              <w:r>
                <w:rPr>
                  <w:rFonts w:ascii="Times New Roman" w:cs="Times New Roman" w:eastAsia="Times New Roman" w:hAnsi="Times New Roman"/>
                  <w:sz w:val="18"/>
                  <w:szCs w:val="18"/>
                  <w:color w:val="0000EE"/>
                  <w:w w:val="99"/>
                </w:rPr>
                <w:t>Act of 2002.</w:t>
              </w:r>
            </w:hyperlink>
          </w:p>
        </w:tc>
        <w:tc>
          <w:tcPr>
            <w:tcW w:w="5240" w:type="dxa"/>
            <w:vAlign w:val="bottom"/>
            <w:gridSpan w:val="39"/>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1/15/2021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41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84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16"/>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1/11/2022</w:t>
            </w:r>
          </w:p>
        </w:tc>
      </w:tr>
      <w:tr>
        <w:trPr>
          <w:trHeight w:val="64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S-4/A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9/8/2021</w:t>
            </w:r>
          </w:p>
        </w:tc>
      </w:tr>
      <w:tr>
        <w:trPr>
          <w:trHeight w:val="432"/>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64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41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7/30/2021</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2/4/2022</w:t>
            </w:r>
          </w:p>
        </w:tc>
      </w:tr>
      <w:tr>
        <w:trPr>
          <w:trHeight w:val="41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12/9/2021</w:t>
            </w:r>
          </w:p>
        </w:tc>
      </w:tr>
    </w:tbl>
    <w:p>
      <w:pPr>
        <w:spacing w:after="0" w:line="2116" w:lineRule="exact"/>
        <w:rPr>
          <w:sz w:val="20"/>
          <w:szCs w:val="20"/>
          <w:color w:val="auto"/>
        </w:rPr>
      </w:pPr>
    </w:p>
    <w:p>
      <w:pPr>
        <w:sectPr>
          <w:pgSz w:w="11900" w:h="16838" w:orient="portrait"/>
          <w:cols w:equalWidth="0" w:num="2">
            <w:col w:w="7080" w:space="320"/>
            <w:col w:w="2460"/>
          </w:cols>
          <w:pgMar w:left="980" w:top="513" w:right="1059" w:bottom="1440" w:gutter="0" w:footer="0" w:header="0"/>
        </w:sect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Certification of Principal Executive Officer pursuant to 18 U.S.C. Section 1350, as</w:t>
              </w:r>
            </w:hyperlink>
          </w:p>
        </w:tc>
      </w:tr>
      <w:tr>
        <w:trPr>
          <w:trHeight w:val="196"/>
        </w:trPr>
        <w:tc>
          <w:tcPr>
            <w:tcW w:w="920" w:type="dxa"/>
            <w:vAlign w:val="bottom"/>
          </w:tcPr>
          <w:p>
            <w:pPr>
              <w:spacing w:after="0"/>
              <w:rPr>
                <w:sz w:val="17"/>
                <w:szCs w:val="17"/>
                <w:color w:val="auto"/>
              </w:rPr>
            </w:pPr>
          </w:p>
        </w:tc>
        <w:tc>
          <w:tcPr>
            <w:tcW w:w="5960" w:type="dxa"/>
            <w:vAlign w:val="bottom"/>
            <w:gridSpan w:val="3"/>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adopted pursuant to 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0">
              <w:r>
                <w:rPr>
                  <w:rFonts w:ascii="Times New Roman" w:cs="Times New Roman" w:eastAsia="Times New Roman" w:hAnsi="Times New Roman"/>
                  <w:sz w:val="18"/>
                  <w:szCs w:val="18"/>
                  <w:color w:val="0000EE"/>
                  <w:w w:val="99"/>
                </w:rPr>
                <w:t>Certification of Principal Financial Officer pursuant to 18 U.S.C. Section 1350, as</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960" w:type="dxa"/>
            <w:vAlign w:val="bottom"/>
            <w:gridSpan w:val="3"/>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adopted pursuant to Section 906 of the Sarbanes-Oxley Act of 2002.</w:t>
              </w:r>
            </w:hyperlink>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40" w:type="dxa"/>
            <w:vAlign w:val="bottom"/>
            <w:gridSpan w:val="2"/>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920" w:right="2560" w:hanging="912"/>
        <w:spacing w:after="0" w:line="260" w:lineRule="auto"/>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w:t>
      </w:r>
    </w:p>
    <w:p>
      <w:pPr>
        <w:spacing w:after="0" w:line="181" w:lineRule="exact"/>
        <w:rPr>
          <w:sz w:val="20"/>
          <w:szCs w:val="20"/>
          <w:color w:val="auto"/>
        </w:rPr>
      </w:pPr>
    </w:p>
    <w:p>
      <w:pPr>
        <w:ind w:right="380" w:firstLine="14"/>
        <w:spacing w:after="0" w:line="282" w:lineRule="auto"/>
        <w:tabs>
          <w:tab w:leader="none" w:pos="3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Registrant has omitted portions of this Exhibit as permitted under Item 601(b)(1) of Regulation S-K.</w:t>
      </w:r>
    </w:p>
    <w:p>
      <w:pPr>
        <w:spacing w:after="0" w:line="225"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or compensatory plan or arrangement in which directors or executive officers are eligible to participate.</w:t>
      </w:r>
    </w:p>
    <w:p>
      <w:pPr>
        <w:spacing w:after="0" w:line="237" w:lineRule="exact"/>
        <w:rPr>
          <w:sz w:val="20"/>
          <w:szCs w:val="20"/>
          <w:color w:val="auto"/>
        </w:rPr>
      </w:pPr>
    </w:p>
    <w:p>
      <w:pPr>
        <w:ind w:right="120" w:firstLine="8"/>
        <w:spacing w:after="0" w:line="282" w:lineRule="auto"/>
        <w:tabs>
          <w:tab w:leader="none" w:pos="32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60"/>
          </w:cols>
          <w:pgMar w:left="980" w:top="513" w:right="13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BuzzFeed,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Jonah Peretti</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Jonah Peretti and Felicia DellaFortuna,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Jonah Peretti</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Jonah Peretti</w:t>
            </w:r>
          </w:p>
        </w:tc>
        <w:tc>
          <w:tcPr>
            <w:tcW w:w="240" w:type="dxa"/>
            <w:vAlign w:val="bottom"/>
          </w:tcPr>
          <w:p>
            <w:pPr>
              <w:spacing w:after="0"/>
              <w:rPr>
                <w:sz w:val="20"/>
                <w:szCs w:val="20"/>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Felicia DellaFortuna</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Felicia DellaFortuna</w:t>
            </w:r>
          </w:p>
        </w:tc>
        <w:tc>
          <w:tcPr>
            <w:tcW w:w="240" w:type="dxa"/>
            <w:vAlign w:val="bottom"/>
          </w:tcPr>
          <w:p>
            <w:pPr>
              <w:spacing w:after="0"/>
              <w:rPr>
                <w:sz w:val="20"/>
                <w:szCs w:val="20"/>
                <w:color w:val="auto"/>
              </w:rPr>
            </w:pPr>
          </w:p>
        </w:tc>
        <w:tc>
          <w:tcPr>
            <w:tcW w:w="3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Anjula Acharia</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Anjula Acharia</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Amble</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Amble</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Coleman</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Greg Coleman</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Janet Rollé</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Janet Rollé</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Kerins</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Patrick Kerins</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10"/>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Adam Rothstein</w:t>
            </w:r>
          </w:p>
        </w:tc>
        <w:tc>
          <w:tcPr>
            <w:tcW w:w="24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Adam Rothstein</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capital stock of BuzzFeed, Inc. (the “Company,” “BuzzFeed,” “we,” “us,” and “our”) and certain provisions of our amended and restated certificate of incorporation (the “Certificate of Incorporation”), restated bylaws (the “Bylaws”), and the agreements governing the warrants described herein are summaries and are qualified in their entirety by reference to the full text of the Certificate of Incorporation, the Bylaws, and the relevant agreements, copies of which have been filed with the Securities and Exchange Commission, and applicable provisions of the General Corporation Law of the State of Delaware (the “DGCL”). Defined terms used and not defined herein shall have the meaning ascribed to such terms in our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780,000,000 shares, consisting of 700,000,000 shares of Class A common stock, par value $0.0001 per share (the “Class A common stock”), 20,000,000 shares of Class B common stock, par value $0.0001 per share (the “Class B common stock”), and 10,000,000 shares of Class C common stock, par value $0.0001 per share (the “Class C common stock” and, together with the Class A common stock and the Class B common stock, the “common stock”), and 50,000,000 shares of preferred stock, par value $0.0001 per share. The Company will issue all shares of its capital stock in uncertificated 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outstanding:</w:t>
      </w:r>
    </w:p>
    <w:p>
      <w:pPr>
        <w:spacing w:after="0" w:line="225" w:lineRule="exact"/>
        <w:rPr>
          <w:sz w:val="20"/>
          <w:szCs w:val="20"/>
          <w:color w:val="auto"/>
        </w:rPr>
      </w:pPr>
    </w:p>
    <w:p>
      <w:pPr>
        <w:ind w:left="520" w:hanging="188"/>
        <w:spacing w:after="0"/>
        <w:tabs>
          <w:tab w:leader="none" w:pos="5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116,175,157 shares of Class A common stock;</w:t>
      </w:r>
    </w:p>
    <w:p>
      <w:pPr>
        <w:spacing w:after="0" w:line="225" w:lineRule="exact"/>
        <w:rPr>
          <w:rFonts w:ascii="Times New Roman" w:cs="Times New Roman" w:eastAsia="Times New Roman" w:hAnsi="Times New Roman"/>
          <w:sz w:val="18"/>
          <w:szCs w:val="18"/>
          <w:color w:val="231F20"/>
        </w:rPr>
      </w:pPr>
    </w:p>
    <w:p>
      <w:pPr>
        <w:ind w:left="520" w:hanging="188"/>
        <w:spacing w:after="0"/>
        <w:tabs>
          <w:tab w:leader="none" w:pos="5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12,396,773 shares of Class B common stock; and</w:t>
      </w:r>
    </w:p>
    <w:p>
      <w:pPr>
        <w:spacing w:after="0" w:line="225" w:lineRule="exact"/>
        <w:rPr>
          <w:rFonts w:ascii="Times New Roman" w:cs="Times New Roman" w:eastAsia="Times New Roman" w:hAnsi="Times New Roman"/>
          <w:sz w:val="18"/>
          <w:szCs w:val="18"/>
          <w:color w:val="231F20"/>
        </w:rPr>
      </w:pPr>
    </w:p>
    <w:p>
      <w:pPr>
        <w:ind w:left="520" w:hanging="188"/>
        <w:spacing w:after="0"/>
        <w:tabs>
          <w:tab w:leader="none" w:pos="52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6,478,031 shares of Class C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Class A common stock are entitled to cast one vote for each share of Class A common stock held of record on all matters to be voted on by stockholders. Holders of Class A common stock are not entitled to cumulate their votes in the election of directors.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Holders of Class B common stock are entitled to fifty (50) votes for each share of Class B common stock held of record on all matters submitted to a vote of stockholders. The holders of Class B common stock do not have cumulative voting rights in the election of directors. Holders of shares of Class A common stock and Class B common stock vote together as a single class on all matters (including the election of directors) submitted to a vote of stockholders, unless, otherwise required by the DGCL or the Certificate of Incorporation.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Class C common stock hold non-voting shares as set out in the Certificate of Incorporation.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common stock, Class B common stock and Class C common stock will share ratably (based on the number of shares of common stock held) if and when any dividend is declared by our board of directors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common stock with respect to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885190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liquidation, dissolution, distribution of assets or winding up of BuzzFeed, each holder of common stock will be entitled, pro rata on a per share basis, to all assets of BuzzFeed of whatever kind available for distribution to the holders of common stock, subject to the designations, preferences, limitations, restrictions and relative rights of any other class or series of preferred stock of BuzzFeed then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holders of common stock issued as consideration pursuant to the Two-Step Merger or issuable upon the settlement or exercise of restricted stock units, stock options or other equity awards outstanding as of immediately following the closing of the Business Combination in respect of awards of Legacy BuzzFeed outstanding immediately prior to the closing of the Business Combination may not Transfer such shares for 180 days following the closing of the Business Combination. These holders include the directors and officers of BuzzFeed and holders that are party to the IRA (as defined herein). The Board may, in its sole discretion, determine to waive, amend, or repeal the foregoing lockup restriction; provided that any such waiver, amendment, termination, shortening, repeal or other modification shall apply pro rata to the common stock held by the stockholders party to the IRA.</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Sponsor, PA 2 Co-Investment, Craig-Hallum and certain affiliated individuals (the “Initial Stockholders”) agreed, subject to limited exceptions, not to transfer, assign or sell any of their shares of Class A common stock until the earlier to occur of: (i) December 3, 2022 (the one year anniversary of the Closing Date), (ii) the date that the last reported sale price of our Class A common stock equals or exceeds $12.00 per share (as adjusted for stock splits, stock dividends, reorganizations, recapitalizations and the like) for any 20 trading days within any 30-trading day period commencing at least 150 days after the Closing Date, and (iii) the date on which the Company completes a liquidation, merger, stock exchange, reorganization or other similar transaction after the Closing Date that results in all of the Company’s stockholders having the right to exchange their shares of Class A common stock for cash, securities or other property.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shares of Class A common stock do not have subscription, redemption or conversion rights. Holders of Class B common stock and Class C common stock do not have subscription or redemption rights All the outstanding shares of common stock are validly issued, fully paid and non-assessable.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is convertible into one share of Class A common stock at the option of the holder thereof at any time upon written notice to the Company. In addition, each share of Class B common stock will automatically, without further action by the Company or the holder thereof, convert into one share of Class A common stock upon (A) the earliest to occur of (x) the date specified by the affirmative vote or written consent of holders of a majority of the shares of Class B common stock then outstanding; or (y) the date of the death of Jonah Peretti or (B) transfer to a non-authorized holder.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share of Class C common stock is convertible into Class A common stock until February 16, 2023 (the “Class C Reference Date”). From and after the Class C Reference Date, each share of Class C common stock will be convertible into one share of Class A common stock at the option of the holder thereof upon written notice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will be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3" w:name="page104"/>
    <w:bookmarkEnd w:id="10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preferred stock outstanding at the date hereof. Although we do not currently intend to issue any shares of preferred stock, we cannot assure you that we will not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whole warrant entitles the registered holder to purchase one share of Class A common stock at a price of $11.50 per whole share, subject to adjustment as discussed below, at any time commencing on January 14, 2022, which is 12 months from the closing of 890’s initial public offering (the “IPO”). Pursuant to the warrant agreement, a warrant holder may exercise its warrants only for a whole number of shares of Class A common stock. This means only a whole warrant may be exercised at a given time by a warrant holder. No fractional warrants have been issued upon separation of the units and only whole warrants will trade. Accordingly, unless you hold at least three units, you will not be able to receive or trade a whole warrant. The warrants will expire on December 3, 2026, at 5:00 p.m., New York City time, or earlier upon redemption or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private placement warrants held by PA 2 Co-Investment and Craig-Hallum and their respective affiliates will not be exercisable more than five years from the commencement of sales of the IPO in accordance with FINRA Rule 5110(g)(8).</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not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described below with respect to registration. No warrant will be exercisable for cash or on a cashless basis, and the Company is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use its best efforts to cause a registration statement registering the issuance of the shares of Class A common stock issuable upon exercise of the warrants to become effective and to maintain the effectiveness of such registration statement, and a current prospectus relating thereto, until the expiration of the warrants in accordance with the provisions of the warrant agreement.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Class A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call the warrants for redemption:</w:t>
      </w:r>
    </w:p>
    <w:p>
      <w:pPr>
        <w:spacing w:after="0" w:line="225" w:lineRule="exact"/>
        <w:rPr>
          <w:sz w:val="20"/>
          <w:szCs w:val="20"/>
          <w:color w:val="auto"/>
        </w:rPr>
      </w:pPr>
    </w:p>
    <w:p>
      <w:pPr>
        <w:ind w:left="520" w:hanging="188"/>
        <w:spacing w:after="0"/>
        <w:tabs>
          <w:tab w:leader="none" w:pos="52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231F20"/>
        </w:rPr>
      </w:pPr>
    </w:p>
    <w:p>
      <w:pPr>
        <w:ind w:left="520" w:hanging="188"/>
        <w:spacing w:after="0"/>
        <w:tabs>
          <w:tab w:leader="none" w:pos="52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231F20"/>
        </w:rPr>
      </w:pPr>
    </w:p>
    <w:p>
      <w:pPr>
        <w:ind w:left="520" w:hanging="188"/>
        <w:spacing w:after="0"/>
        <w:tabs>
          <w:tab w:leader="none" w:pos="52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231F20"/>
        </w:rPr>
      </w:pPr>
    </w:p>
    <w:p>
      <w:pPr>
        <w:jc w:val="both"/>
        <w:ind w:left="520" w:hanging="188"/>
        <w:spacing w:after="0" w:line="266" w:lineRule="auto"/>
        <w:tabs>
          <w:tab w:leader="none" w:pos="52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and only if, the last reported sale price of the Class A common stock equals or exceeds $18.00 per share (as adjusted for stock splits, stock dividends, reorganizations, recapitalizations and the like and for certain issuances of Class A common stock and equity-linked securities as described below) for any 20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4" w:name="page105"/>
    <w:bookmarkEnd w:id="104"/>
    <w:p>
      <w:pPr>
        <w:ind w:left="520"/>
        <w:spacing w:after="0" w:line="282" w:lineRule="auto"/>
        <w:rPr>
          <w:sz w:val="20"/>
          <w:szCs w:val="20"/>
          <w:color w:val="auto"/>
        </w:rPr>
      </w:pPr>
      <w:r>
        <w:rPr>
          <w:rFonts w:ascii="Times New Roman" w:cs="Times New Roman" w:eastAsia="Times New Roman" w:hAnsi="Times New Roman"/>
          <w:sz w:val="18"/>
          <w:szCs w:val="18"/>
          <w:color w:val="auto"/>
        </w:rPr>
        <w:t>within a 30-trading day period ending on the third trading day prior to the date the Company sends the notice of redemption to the warrant 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Class A common stock equals or exceeds $10.00.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90 days after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520" w:hanging="188"/>
        <w:spacing w:after="0"/>
        <w:tabs>
          <w:tab w:leader="none" w:pos="52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231F20"/>
        </w:rPr>
      </w:pPr>
    </w:p>
    <w:p>
      <w:pPr>
        <w:jc w:val="both"/>
        <w:ind w:left="520" w:hanging="188"/>
        <w:spacing w:after="0" w:line="266" w:lineRule="auto"/>
        <w:tabs>
          <w:tab w:leader="none" w:pos="52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at a price of $0.10 per warrant provided that holders will be able to exercise their warrants prior to redemption and receive that number of shares of Class A common stock determined by reference to the table below, based on the redemption date and the “fair market value” (as defined below) of the Class A common stock except as otherwise described below;</w:t>
      </w:r>
    </w:p>
    <w:p>
      <w:pPr>
        <w:spacing w:after="0" w:line="175" w:lineRule="exact"/>
        <w:rPr>
          <w:rFonts w:ascii="Times New Roman" w:cs="Times New Roman" w:eastAsia="Times New Roman" w:hAnsi="Times New Roman"/>
          <w:sz w:val="18"/>
          <w:szCs w:val="18"/>
          <w:color w:val="231F20"/>
        </w:rPr>
      </w:pPr>
    </w:p>
    <w:p>
      <w:pPr>
        <w:ind w:left="520" w:hanging="188"/>
        <w:spacing w:after="0"/>
        <w:tabs>
          <w:tab w:leader="none" w:pos="52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upon a minimum of 30 days’ prior written notice of redemption;</w:t>
      </w:r>
    </w:p>
    <w:p>
      <w:pPr>
        <w:spacing w:after="0" w:line="225" w:lineRule="exact"/>
        <w:rPr>
          <w:rFonts w:ascii="Times New Roman" w:cs="Times New Roman" w:eastAsia="Times New Roman" w:hAnsi="Times New Roman"/>
          <w:sz w:val="18"/>
          <w:szCs w:val="18"/>
          <w:color w:val="231F20"/>
        </w:rPr>
      </w:pPr>
    </w:p>
    <w:p>
      <w:pPr>
        <w:jc w:val="both"/>
        <w:ind w:left="520" w:hanging="188"/>
        <w:spacing w:after="0" w:line="258" w:lineRule="auto"/>
        <w:tabs>
          <w:tab w:leader="none" w:pos="52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and only if, the last reported sale price of the Class A common stock equals or exceeds $10.00 per share (as adjusted for stock splits, stock dividends, reorganizations, recapitalizations and the like) on the trading day prior to the date on which the Company sends the notice of redemption to the warrant holders; and 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numbers in the table below represent the number of shares of Class A common stock that a warrant holder will receive upon cashless exercise in connection with a redemption by the Company pursuant to this redemption feature, based on the “fair market value” of the Class A common stock on the 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Fair Market Value of Class A Common Stock</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 (period to</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expiration of warrants)</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12.00</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13.00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14.00</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18.00</w:t>
            </w:r>
          </w:p>
        </w:tc>
      </w:tr>
      <w:tr>
        <w:trPr>
          <w:trHeight w:val="209"/>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0.310</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0.316</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0.178</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shd w:val="clear" w:color="auto" w:fill="CCEEFF"/>
          </w:tcPr>
          <w:p>
            <w:pPr>
              <w:spacing w:after="0"/>
              <w:rPr>
                <w:sz w:val="18"/>
                <w:szCs w:val="18"/>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 months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the Class A common stock for the 10 trading days ending on the third trading date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 sale price of the Class A common stock for the 10 trading days 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public warrants held by the Company’s officers or directors will be subject to this redemption feature, except that such officers and directors shall only receive “fair market value” for such public warrants if they exercise their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warrants in connection with such redemption (“fair market value” for such public warrants held by the Company’s officers or directors being defined as the last reported sale price of the public warrants on such redemption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stated above, the Company can redeem the warrants when the Class A common stock is trading at a price starting at $10.00, which is below the exercise price of $11.50, because it will provide certainty with respect to the Company’s capital structure and cash position while providing warrant holders with the opportunity to exercise their warrants on a cashless basis for the applicable number of shares of Class A common stock. If the Company chooses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shares of Class A common stock were trading at a price higher than the exercise price of $11.50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the Company calls the warrants for redemption as described under </w:t>
      </w:r>
      <w:r>
        <w:rPr>
          <w:rFonts w:ascii="Times New Roman" w:cs="Times New Roman" w:eastAsia="Times New Roman" w:hAnsi="Times New Roman"/>
          <w:sz w:val="18"/>
          <w:szCs w:val="18"/>
          <w:i w:val="1"/>
          <w:iCs w:val="1"/>
          <w:color w:val="auto"/>
        </w:rPr>
        <w:t>“— Redemption of warrants when the price per share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equals or exceeds $18.00</w:t>
      </w:r>
      <w:r>
        <w:rPr>
          <w:rFonts w:ascii="Times New Roman" w:cs="Times New Roman" w:eastAsia="Times New Roman" w:hAnsi="Times New Roman"/>
          <w:sz w:val="18"/>
          <w:szCs w:val="18"/>
          <w:color w:val="auto"/>
        </w:rPr>
        <w:t>,” the Company’s management will have the option to require any holder that wishes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her or its warrant to do so on a “cashless basis.” In determining whether to require all holders to exercise their warrants on a “cashless basis,” the Company’s management will consider, among other factors, the Company’s cash position, the number of warrants that are outstanding and the dilutive effect on the Company’s stockholders of issuing the maximum number of shares of Class A common stock issuable upon the exercise of the Company’s warrants. If the Company’s management takes advantage of this option, all holders of warrants would pay the exercise price by surrendering their warrants for that number of shares of Class A common stock equal to the lesser of (A) the quotient obtained by dividing (x) the product of the number of shares of Class A common stock underlying the warrants, multiplied by the excess of the “fair market value” (defined below) over the exercise price of the warrants by (y) the fair market value and (B) 0.361. The “fair market value” shall mean the average last reported sale price of the Class A common stock for the 10 trading days ending on the third trading day prior to the date on which the notice of redemption is sent to the holders of warrants. If the Company’s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the Company if the Company does not need the cash from the exercise of the warrants. If the Company calls its warrants for redemption and the Company’s management does not take advantage of this option, the Initial Stockholders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18"/>
          <w:szCs w:val="18"/>
          <w:color w:val="auto"/>
        </w:rPr>
        <w:t>common stock paid in such rights offering divided by (y) the fair market value. For these purposes (a)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(b)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the holders of Class A common stock on account of such shares of Class A common stock (or other shares of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w:t>
      </w:r>
    </w:p>
    <w:p>
      <w:pPr>
        <w:jc w:val="both"/>
        <w:ind w:firstLine="8"/>
        <w:spacing w:after="0" w:line="255" w:lineRule="auto"/>
        <w:tabs>
          <w:tab w:leader="none" w:pos="2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corporation (other than a consolidation or merger in which the Company is the continuing corporation and that does not result in any reclassification or reorganization of the Company’s outstanding shares of Class A common stock),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Class A common stock in the successor entity that is listed for trading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the Company. You should review a copy of the warrant agreement, which is filed as an exhibit to the Company’s Annual Report on Form 10-K for the year ended December 31, 2021,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warrants have been issued upon separation of the units and only whole warrants will trade.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are not transferable, assignable or salable until 30 days after the completion of the Business Combination (except, among certain limited exceptions, to certain former officers and directors of the Company and other persons or entities affiliated with the Sponsor, PA 2 Co-Investment and Craig-Hallum) and they will not be redeemable by the Company so long as they are held by the Initial Stockholders or their permitted transferees. The Initial Stockholders, or their permitted transferees, have the option to exercise the private placement warrants on a cashless basis. Otherwise, the private placement warrants have terms and provisions that are identical to those of the warrants sold as part of the units in the IPO. If the private placement warrants are held by holders other than the Initial Stockholders or their permitted transferees, the private placement warrants will be redeemable by the Company and exercisable by the holders on the same basis as the warrants included in the units sold in the IPO.</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holder of the private placement warrants elects to exercise the warrants on a cashless basis, the holder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the Business Combination, the Sponsor provided a $1.0 million loan to the Company. At the Closing, the Sponsor exercised its right to convert the working capital loan made by the Sponsor to the Company into an additional 33,333 private placement warrants and 100,000 shares of Class A common stock in satisfaction of $1.0 million principal amount of the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to the fullest extent permitted by law, unless the Company otherwise consents in writing, the Court of Chancery (the “Chancery Court”) of the State of Delaware (or, in the event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jc w:val="both"/>
        <w:spacing w:after="0" w:line="254" w:lineRule="auto"/>
        <w:rPr>
          <w:sz w:val="20"/>
          <w:szCs w:val="20"/>
          <w:color w:val="auto"/>
        </w:rPr>
      </w:pPr>
      <w:r>
        <w:rPr>
          <w:rFonts w:ascii="Times New Roman" w:cs="Times New Roman" w:eastAsia="Times New Roman" w:hAnsi="Times New Roman"/>
          <w:sz w:val="18"/>
          <w:szCs w:val="18"/>
          <w:color w:val="auto"/>
        </w:rPr>
        <w:t>Chancery Court does not have jurisdiction, the federal district for the District of Delaware or other state courts of the State of Delaware) shall, to the fullest extent permitted by law, be the sole and exclusive forum for any action brought (1) any derivative action or proceeding brought on behalf of the Company, (2) any action asserting a claim of breach of a fiduciary duty owed by, or any other wrongdoing by, any current or former director, officer, other employee or stockholder of the Corporation, (3) any action asserting a claim against the Company arising pursuant to any provision of the DGCL, the Certificate of Incorporation or the Bylaws, or as to which the DGCL confers jurisdiction on the Court of Chancery, (4) any action to interpret, apply, enforce or determine the validity of any provisions of the Certificate of Incorporation or the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or the Exchange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is divided into three classes, Class I, Class II and Class III, with only one class of directors being elected in each year and each class serving a three-year term, except the Company’s Class I directors were elected to an initial one-year term (and three-year terms subsequently), the Class II directors were elected to an initial two-year term (and three-year terms subsequently) and the Class III directors were elected to an initial three-year term (and three-year terms subsequently). The election of directors will be determined by a plurality of the votes cast by the stockholders present in person or represented by proxy at the meeting and entitled to vote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the Bylaws and Applicable Law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provisions of the Certificate of Incorporation, the Bylaws, and laws of the State of Delaware, where BuzzFeed is incorporated, may discourage or make more difficult a takeover attempt that a stockholder might consider in his or her best interest. These provisions may also adversely affect prevailing market prices for the common stock. BuzzFeed believes that the benefits of increased protection give the Company the potential ability to negotiate with the proponent of an unsolicited proposal to acquire or restructure BuzzFeed and outweigh the disadvantage of discouraging those proposals because negotiation of the proposals could result in an improvement of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BuzzFeed by means of a proxy contest, tender offer, merger,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the Board be classified into three classes of directors of approximately equal size. As a result, in most circumstances, a person can gain control of the Board only by successfully engaging in a proxy contest at three or more annual meetings. Furthermore, because the Board is classified, directors may be removed only with cause by two-thirds of our outstanding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Meetings, Nominations and Proposals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BuzzFeed with certain information. Generally, to be timely, a stockholder’s notice must be received at BuzzFeed’s principal executive offices not less than 90 days nor more than 120 days prior to the first anniversary of the immediately preceding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jc w:val="both"/>
        <w:spacing w:after="0" w:line="252" w:lineRule="auto"/>
        <w:rPr>
          <w:sz w:val="20"/>
          <w:szCs w:val="20"/>
          <w:color w:val="auto"/>
        </w:rPr>
      </w:pPr>
      <w:r>
        <w:rPr>
          <w:rFonts w:ascii="Times New Roman" w:cs="Times New Roman" w:eastAsia="Times New Roman" w:hAnsi="Times New Roman"/>
          <w:sz w:val="18"/>
          <w:szCs w:val="18"/>
          <w:color w:val="auto"/>
        </w:rPr>
        <w:t>The Bylaws also specify requirements as to the form and content of a stockholder’s notice.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BuzzFeed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Bylaws also allow the chairman of the meeting at a meeting of the stockholders to adopt rules and regulations for the conduct of meetings which may have the effect of precluding the conduct of certain business at a meeting if the rules and regulations are not followed.</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provisions may also defer, delay, or discourage a potential acquirer from conducting a solicitation of proxies to elect the acquirer’s own slate of directors or otherwise attempting to influence or obtain control of BuzzFeed.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Stockholder Action by Written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subject to the terms of any series of preferred stock, any action required or permitted to be taken by the stockholders of BuzzFeed must be effected at an annual or special meeting of the stockholders and may not be effected by written consent in lieu of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Bylaws provide that special meetings of stockholders may be called only by the Chairman of the Board, the Chief Executive Officer of BuzzFeed or the Board pursuant to a resolution adopted by a majority of the Board. Stockholders of BuzzFeed will not be eligible and will have no right to call a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provides that it may be amended by BuzzFeed in the manners provided therein or prescribed by statute. The Certificate of Incorporation provides that the affirmative vote of the holders of a majority of the voting power of the then-outstanding shares of capital stock of BuzzFeed entitled to vote generally in the election of directors, voting together as a single class, will be required to amend or repeal, or adopt any provision of the Certificate of Incorporation providing for the capital stock of BuzzFeed, amendment of the Certificate of Incorporation, amendment of the Bylaws, or relating to the board of directors, election of directors, limitation of director liability, indemnification and special meetings of the stockholders.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also provides that the Board shall have the power to adopt, amend, alter, or repeal the Bylaws by the affirmative vote of a majority of the directors present at any regular or special meeting of the Board at which a quorum is present in any manner not inconsistent with the laws of the State of Delaware or the Certificate of Incorporation. BuzzFeed’s stockholders are prohibited from adopting, amending, altering, or repealing the Bylaws, and from adopting any provision inconsistent with the Bylaws, unless such action is approved, in addition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vote required by the Certificate of Incorporation, by the affirmative vote of the holders of at least two-thirds of the voting power of all then outstanding shares of capital stock of BuzzFeed entitled to vote generally in the election of directors, voting together as a single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162" w:lineRule="exact"/>
        <w:rPr>
          <w:sz w:val="20"/>
          <w:szCs w:val="20"/>
          <w:color w:val="auto"/>
        </w:rPr>
      </w:pPr>
    </w:p>
    <w:p>
      <w:pPr>
        <w:ind w:left="660" w:right="260" w:hanging="328"/>
        <w:spacing w:after="0" w:line="282" w:lineRule="auto"/>
        <w:tabs>
          <w:tab w:leader="none" w:pos="66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231F20"/>
        </w:rPr>
      </w:pPr>
    </w:p>
    <w:p>
      <w:pPr>
        <w:ind w:left="660" w:right="260" w:hanging="328"/>
        <w:spacing w:after="0" w:line="256" w:lineRule="auto"/>
        <w:tabs>
          <w:tab w:leader="none" w:pos="66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7"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6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BuzzFeed’s outstanding voting stock. For purposes of this section only, “voting stock” has the meaning given to it in Section 203 of the DGCL.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provision will make it more difficult for a person who would be an “interested stockholder” to effect various business combinations with BuzzFeed for a three-year period. This provision may encourage companies interested in acquiring BuzzFeed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charter specifically authorizes cumulative voting. The Certificate of Incorporation does not authorize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The Certificate of Incorporation includes a provision that limit the liability of our directors for monetary damages to the fullest extent permitted by the DGCL.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BuzzFeed must indemnify and advance expenses to BuzzFeed’s directors and officers to the fullest extent authorized by the DGCL. BuzzFeed also is expressly authorized to carry directors’ and officers’ liability insurance providing indemnification for BuzzFeed directors, officers, and certain employees for some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BuzzFeed believes that these indemnification and advancement provisions and insurance are useful to attract and retain qualified directors and executive officers.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Certificate of Incorporation and Bylaws may discourage stockholders from bringing lawsuits against directors for breach of their fiduciary duty. These provisions also may have the effect of reducing the likelihood of derivative litigation against directors and officers, even though such an action, if successful, might otherwise benefit BuzzFeed and its stockholders. In addition, your investment may be adversely affected to the extent BuzzFeed pays the costs of settlement and damage awards against directors and officer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BuzzFeed’s stockholders have appraisal rights in connection with a merger or consolidation of BuzzFeed.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any of BuzzFeed’s stockholders may bring an action in BuzzFeed’s name to procure a judgment in BuzzFeed’s favor, also known as a derivative action, provided that the stockholder bringing the action is a holder of shares of common stock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capital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 “BZFD” and “BZFDW,”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333-262582 on Form S-8 of our report dated March 30, 2022, relating to the financial statements of BuzzFeed, Inc. appearing in this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98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340" w:right="2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PRINCIPAL FINANCIAL OFFICER PURSUANT TO</w:t>
      </w:r>
    </w:p>
    <w:p>
      <w:pPr>
        <w:spacing w:after="0" w:line="18" w:lineRule="exact"/>
        <w:rPr>
          <w:sz w:val="20"/>
          <w:szCs w:val="20"/>
          <w:color w:val="auto"/>
        </w:rPr>
      </w:pPr>
    </w:p>
    <w:p>
      <w:pPr>
        <w:ind w:left="2160" w:right="2160" w:firstLine="74"/>
        <w:spacing w:after="0" w:line="258" w:lineRule="auto"/>
        <w:rPr>
          <w:sz w:val="20"/>
          <w:szCs w:val="20"/>
          <w:color w:val="auto"/>
        </w:rPr>
      </w:pPr>
      <w:r>
        <w:rPr>
          <w:rFonts w:ascii="Times New Roman" w:cs="Times New Roman" w:eastAsia="Times New Roman" w:hAnsi="Times New Roman"/>
          <w:sz w:val="21"/>
          <w:szCs w:val="21"/>
          <w:b w:val="1"/>
          <w:bCs w:val="1"/>
          <w:color w:val="auto"/>
        </w:rPr>
        <w:t>18 U.S.C. SECTION 1350, AS ADOPTED PURSUANT TO SECTION 906 OF THE SARBANES-OXLEY ACT OF 2002</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340" w:right="2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lowerLetter"/>
      <w:start w:val="2"/>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1)"/>
      <w:numFmt w:val="lowerRoman"/>
      <w:start w:val="2"/>
    </w:lvl>
  </w:abstractNum>
  <w:abstractNum w:abstractNumId="36">
    <w:nsid w:val="10233C99"/>
    <w:multiLevelType w:val="hybridMultilevel"/>
    <w:lvl w:ilvl="0">
      <w:lvlJc w:val="left"/>
      <w:lvlText w:val="(%1)"/>
      <w:numFmt w:val="lowerRoman"/>
      <w:start w:val="3"/>
    </w:lvl>
  </w:abstractNum>
  <w:abstractNum w:abstractNumId="37">
    <w:nsid w:val="3F6AB60F"/>
    <w:multiLevelType w:val="hybridMultilevel"/>
    <w:lvl w:ilvl="0">
      <w:lvlJc w:val="left"/>
      <w:lvlText w:val="%1"/>
      <w:numFmt w:val="upperLetter"/>
      <w:start w:val="35"/>
    </w:lvl>
  </w:abstractNum>
  <w:abstractNum w:abstractNumId="38">
    <w:nsid w:val="61574095"/>
    <w:multiLevelType w:val="hybridMultilevel"/>
    <w:lvl w:ilvl="0">
      <w:lvlJc w:val="left"/>
      <w:lvlText w:val="%1"/>
      <w:numFmt w:val="upperLetter"/>
      <w:start w:val="35"/>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lowerRoman"/>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4"/>
    </w:lvl>
  </w:abstractNum>
  <w:abstractNum w:abstractNumId="56">
    <w:nsid w:val="799D0247"/>
    <w:multiLevelType w:val="hybridMultilevel"/>
    <w:lvl w:ilvl="0">
      <w:lvlJc w:val="left"/>
      <w:lvlText w:val="(%1)"/>
      <w:numFmt w:val="lowerRoman"/>
      <w:start w:val="2"/>
    </w:lvl>
  </w:abstractNum>
  <w:abstractNum w:abstractNumId="57">
    <w:nsid w:val="6B94764"/>
    <w:multiLevelType w:val="hybridMultilevel"/>
    <w:lvl w:ilvl="0">
      <w:lvlJc w:val="left"/>
      <w:lvlText w:val="%1."/>
      <w:numFmt w:val="decimal"/>
      <w:start w:val="9"/>
    </w:lvl>
  </w:abstractNum>
  <w:abstractNum w:abstractNumId="58">
    <w:nsid w:val="42C296BD"/>
    <w:multiLevelType w:val="hybridMultilevel"/>
    <w:lvl w:ilvl="0">
      <w:lvlJc w:val="left"/>
      <w:lvlText w:val="%1."/>
      <w:numFmt w:val="decimal"/>
      <w:start w:val="1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2"/>
    </w:lvl>
  </w:abstractNum>
  <w:abstractNum w:abstractNumId="61">
    <w:nsid w:val="661E3F1E"/>
    <w:multiLevelType w:val="hybridMultilevel"/>
    <w:lvl w:ilvl="0">
      <w:lvlJc w:val="left"/>
      <w:lvlText w:val="%1."/>
      <w:numFmt w:val="decimal"/>
      <w:start w:val="13"/>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4"/>
    </w:lvl>
  </w:abstractNum>
  <w:abstractNum w:abstractNumId="65">
    <w:nsid w:val="51D9C564"/>
    <w:multiLevelType w:val="hybridMultilevel"/>
    <w:lvl w:ilvl="0">
      <w:lvlJc w:val="left"/>
      <w:lvlText w:val="%1."/>
      <w:numFmt w:val="decimal"/>
      <w:start w:val="15"/>
    </w:lvl>
  </w:abstractNum>
  <w:abstractNum w:abstractNumId="66">
    <w:nsid w:val="613EFDC5"/>
    <w:multiLevelType w:val="hybridMultilevel"/>
    <w:lvl w:ilvl="0">
      <w:lvlJc w:val="left"/>
      <w:lvlText w:val="%1."/>
      <w:numFmt w:val="decimal"/>
      <w:start w:val="16"/>
    </w:lvl>
  </w:abstractNum>
  <w:abstractNum w:abstractNumId="67">
    <w:nsid w:val="BF72B14"/>
    <w:multiLevelType w:val="hybridMultilevel"/>
    <w:lvl w:ilvl="0">
      <w:lvlJc w:val="left"/>
      <w:lvlText w:val="%1."/>
      <w:numFmt w:val="decimal"/>
      <w:start w:val="17"/>
    </w:lvl>
  </w:abstractNum>
  <w:abstractNum w:abstractNumId="68">
    <w:nsid w:val="11447B73"/>
    <w:multiLevelType w:val="hybridMultilevel"/>
    <w:lvl w:ilvl="0">
      <w:lvlJc w:val="left"/>
      <w:lvlText w:val="%1."/>
      <w:numFmt w:val="decimal"/>
      <w:start w:val="18"/>
    </w:lvl>
  </w:abstractNum>
  <w:abstractNum w:abstractNumId="69">
    <w:nsid w:val="42963E5A"/>
    <w:multiLevelType w:val="hybridMultilevel"/>
    <w:lvl w:ilvl="0">
      <w:lvlJc w:val="left"/>
      <w:lvlText w:val="%1."/>
      <w:numFmt w:val="decimal"/>
      <w:start w:val="19"/>
    </w:lvl>
  </w:abstractNum>
  <w:abstractNum w:abstractNumId="70">
    <w:nsid w:val="A0382C5"/>
    <w:multiLevelType w:val="hybridMultilevel"/>
    <w:lvl w:ilvl="0">
      <w:lvlJc w:val="left"/>
      <w:lvlText w:val="%1"/>
      <w:numFmt w:val="decimal"/>
      <w:start w:val="104"/>
    </w:lvl>
  </w:abstractNum>
  <w:abstractNum w:abstractNumId="71">
    <w:nsid w:val="8F2B15E"/>
    <w:multiLevelType w:val="hybridMultilevel"/>
    <w:lvl w:ilvl="0">
      <w:lvlJc w:val="left"/>
      <w:lvlText w:val="*"/>
      <w:numFmt w:val="bullet"/>
      <w:start w:val="1"/>
    </w:lvl>
    <w:lvl w:ilvl="1">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lowerRoman"/>
      <w:start w:val="10"/>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2"/>
    </w:lvl>
  </w:abstractNum>
  <w:abstractNum w:abstractNumId="82">
    <w:nsid w:val="100F59DC"/>
    <w:multiLevelType w:val="hybridMultilevel"/>
    <w:lvl w:ilvl="0">
      <w:lvlJc w:val="left"/>
      <w:lvlText w:val="%1."/>
      <w:numFmt w:val="decimal"/>
      <w:start w:val="5"/>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20" Type="http://schemas.openxmlformats.org/officeDocument/2006/relationships/hyperlink" Target="https://www.sec.gov/Archives/edgar/data/1828972/000110465921085218/tm2120621d1_ex2-1.htm" TargetMode="External"/><Relationship Id="rId121" Type="http://schemas.openxmlformats.org/officeDocument/2006/relationships/hyperlink" Target="https://www.sec.gov/Archives/edgar/data/1828972/000110465921136139/tm2122219-17_s4a.htm#tANNA1" TargetMode="External"/><Relationship Id="rId122" Type="http://schemas.openxmlformats.org/officeDocument/2006/relationships/hyperlink" Target="https://www.sec.gov/Archives/edgar/data/1828972/000110465921098380/tm2122219d3_ex2-2.htm" TargetMode="External"/><Relationship Id="rId123" Type="http://schemas.openxmlformats.org/officeDocument/2006/relationships/hyperlink" Target="https://www.sec.gov/Archives/edgar/data/1828972/000110465921098380/tm2122219d3_ex2-3.htm" TargetMode="External"/><Relationship Id="rId124" Type="http://schemas.openxmlformats.org/officeDocument/2006/relationships/hyperlink" Target="https://www.sec.gov/Archives/edgar/data/1828972/000110465921148188/tm2134844d1_ex3-1.htm" TargetMode="External"/><Relationship Id="rId125" Type="http://schemas.openxmlformats.org/officeDocument/2006/relationships/hyperlink" Target="https://www.sec.gov/Archives/edgar/data/1828972/000110465921148188/tm2134844d1_ex3-2.htm" TargetMode="External"/><Relationship Id="rId126" Type="http://schemas.openxmlformats.org/officeDocument/2006/relationships/hyperlink" Target="https://www.sec.gov/Archives/edgar/data/1828972/000110465921122092/enfa-20211001xex4d1.htm" TargetMode="External"/><Relationship Id="rId127" Type="http://schemas.openxmlformats.org/officeDocument/2006/relationships/hyperlink" Target="https://www.sec.gov/Archives/edgar/data/1828972/000110465921001623/tm2034583d8_ex4-4.htm" TargetMode="External"/><Relationship Id="rId128" Type="http://schemas.openxmlformats.org/officeDocument/2006/relationships/hyperlink" Target="https://www.sec.gov/Archives/edgar/data/1828972/000110465921148188/tm2134844d1_ex4-3.htm" TargetMode="External"/><Relationship Id="rId130" Type="http://schemas.openxmlformats.org/officeDocument/2006/relationships/hyperlink" Target="https://www.sec.gov/Archives/edgar/data/1828972/000110465921148188/tm2134844d1_ex10-1.htm" TargetMode="External"/><Relationship Id="rId131" Type="http://schemas.openxmlformats.org/officeDocument/2006/relationships/hyperlink" Target="https://www.sec.gov/Archives/edgar/data/1828972/000110465921004786/tm213318d1_ex4-1.htm" TargetMode="External"/><Relationship Id="rId132" Type="http://schemas.openxmlformats.org/officeDocument/2006/relationships/hyperlink" Target="https://www.sec.gov/Archives/edgar/data/1828972/000110465921098380/tm2122219-1_s4.htm#tANND" TargetMode="External"/><Relationship Id="rId133" Type="http://schemas.openxmlformats.org/officeDocument/2006/relationships/hyperlink" Target="https://www.sec.gov/Archives/edgar/data/1828972/000110465921148188/tm2134844d1_ex10-4.htm" TargetMode="External"/><Relationship Id="rId134" Type="http://schemas.openxmlformats.org/officeDocument/2006/relationships/hyperlink" Target="https://www.sec.gov/Archives/edgar/data/1828972/000110465921098380/tm2122219d3_ex10-4.htm" TargetMode="External"/><Relationship Id="rId135" Type="http://schemas.openxmlformats.org/officeDocument/2006/relationships/hyperlink" Target="https://www.sec.gov/Archives/edgar/data/1828972/000110465921098380/tm2122219d3_ex10-5.htm" TargetMode="External"/><Relationship Id="rId136" Type="http://schemas.openxmlformats.org/officeDocument/2006/relationships/hyperlink" Target="https://www.sec.gov/Archives/edgar/data/1828972/000110465921098380/tm2122219d3_ex10-9.htm" TargetMode="External"/><Relationship Id="rId137" Type="http://schemas.openxmlformats.org/officeDocument/2006/relationships/hyperlink" Target="https://www.sec.gov/Archives/edgar/data/1828972/000110465921148188/tm2134844d1_ex10-8.htm" TargetMode="External"/><Relationship Id="rId138" Type="http://schemas.openxmlformats.org/officeDocument/2006/relationships/hyperlink" Target="https://www.sec.gov/Archives/edgar/data/1828972/000110465921148188/tm2134844d1_ex10-9.htm" TargetMode="External"/><Relationship Id="rId139" Type="http://schemas.openxmlformats.org/officeDocument/2006/relationships/hyperlink" Target="https://www.sec.gov/Archives/edgar/data/1828972/000110465921148188/tm2134844d1_ex10-10.htm" TargetMode="External"/><Relationship Id="rId140" Type="http://schemas.openxmlformats.org/officeDocument/2006/relationships/hyperlink" Target="https://www.sec.gov/Archives/edgar/data/1828972/000110465921148188/tm2134844d1_ex10-11.htm" TargetMode="External"/><Relationship Id="rId141" Type="http://schemas.openxmlformats.org/officeDocument/2006/relationships/hyperlink" Target="https://www.sec.gov/Archives/edgar/data/1828972/000110465921148188/tm2134844d1_ex10-12.htm" TargetMode="External"/><Relationship Id="rId142" Type="http://schemas.openxmlformats.org/officeDocument/2006/relationships/hyperlink" Target="https://www.sec.gov/Archives/edgar/data/1828972/000110465921148188/tm2134844d1_ex10-13.htm" TargetMode="External"/><Relationship Id="rId143" Type="http://schemas.openxmlformats.org/officeDocument/2006/relationships/hyperlink" Target="https://www.sec.gov/Archives/edgar/data/1828972/000110465921148188/tm2134844d1_ex10-14.htm" TargetMode="External"/><Relationship Id="rId144" Type="http://schemas.openxmlformats.org/officeDocument/2006/relationships/hyperlink" Target="https://www.sec.gov/Archives/edgar/data/1828972/000110465921148188/tm2134844d1_ex10-15.htm" TargetMode="External"/><Relationship Id="rId145" Type="http://schemas.openxmlformats.org/officeDocument/2006/relationships/hyperlink" Target="https://www.sec.gov/Archives/edgar/data/1828972/000110465921148188/tm2134844d1_ex10-16.htm" TargetMode="External"/><Relationship Id="rId146" Type="http://schemas.openxmlformats.org/officeDocument/2006/relationships/hyperlink" Target="https://www.sec.gov/Archives/edgar/data/1828972/000110465921098380/tm2122219d3_ex10-11.htm" TargetMode="External"/><Relationship Id="rId147" Type="http://schemas.openxmlformats.org/officeDocument/2006/relationships/hyperlink" Target="https://www.sec.gov/Archives/edgar/data/0001828972/000110465922003154/bzfd-20220111xex10d18.htm" TargetMode="External"/><Relationship Id="rId148" Type="http://schemas.openxmlformats.org/officeDocument/2006/relationships/hyperlink" Target="https://www.sec.gov/Archives/edgar/data/1828972/000110465921148188/tm2134844d1_ex10-19.htm" TargetMode="External"/><Relationship Id="rId149" Type="http://schemas.openxmlformats.org/officeDocument/2006/relationships/hyperlink" Target="https://www.sec.gov/Archives/edgar/data/1828972/000110465921113801/tm2122219d6_ex10-14.htm" TargetMode="External"/><Relationship Id="rId150" Type="http://schemas.openxmlformats.org/officeDocument/2006/relationships/hyperlink" Target="https://www.sec.gov/Archives/edgar/data/1828972/000110465921098380/tm2122219d3_ex10-8.htm" TargetMode="External"/><Relationship Id="rId151" Type="http://schemas.openxmlformats.org/officeDocument/2006/relationships/hyperlink" Target="https://www.sec.gov/Archives/edgar/data/1828972/000110465921148188/tm2134844d1_ex10-22.htm" TargetMode="External"/><Relationship Id="rId152" Type="http://schemas.openxmlformats.org/officeDocument/2006/relationships/hyperlink" Target="https://www.sec.gov/Archives/edgar/data/1828972/000110465921098380/tm2122219d3_ex10-6.htm" TargetMode="External"/><Relationship Id="rId153" Type="http://schemas.openxmlformats.org/officeDocument/2006/relationships/hyperlink" Target="https://www.sec.gov/Archives/edgar/data/0001828972/000110465922017086/tm224773d1_ex10-1.htm" TargetMode="External"/><Relationship Id="rId154" Type="http://schemas.openxmlformats.org/officeDocument/2006/relationships/hyperlink" Target="https://www.sec.gov/Archives/edgar/data/1828972/000110465921148188/tm2134844d1_ex16-1.htm" TargetMode="External"/><Relationship Id="rId155" Type="http://schemas.openxmlformats.org/officeDocument/2006/relationships/hyperlink" Target="https://www.sec.gov/Archives/edgar/data/1828972/000110465921148188/tm2134844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2022-03-30T17:56:46Z</dcterms:created>
  <dcterms:modified xsi:type="dcterms:W3CDTF">2022-03-30T17:56:46Z</dcterms:modified>
</cp:coreProperties>
</file>