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1354.xml.htm"/>
      <w:bookmarkStart w:id="1" w:name="kswkform4_17865713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Arroyo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253,929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271,882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254,512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25,146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17,953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125,674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of Class A common stock reflect the settlement of restricted stock units ("RSUs") on August 11, 2026. Each RSU is convertible into a share of Issuer's Class A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pay taxes applicable to the settlement of the RSUs previously awarded to the Reporting Person to which footnote (1) refers.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25,146 RSUs vested on May 19, 2026. Following this settlement, no RSUs remain outstanding under the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17,953 RSUs settled on the transaction date. The remaining 125,674 RSUs vest as to 1/12 of the total award quarterly in equal installments on the 1st of November, February, May and August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Santos, Attorney-in-Fact for David Arroyo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294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789</Words>
  <Characters>4128</Characters>
  <CharactersWithSpaces>4803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