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31,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92" w:type="dxa"/>
        <w:jc w:val="left"/>
        <w:tblInd w:w="0" w:type="dxa"/>
        <w:tblLayout w:type="fixed"/>
        <w:tblCellMar>
          <w:top w:w="28" w:type="dxa"/>
          <w:left w:w="28" w:type="dxa"/>
          <w:bottom w:w="28" w:type="dxa"/>
          <w:right w:w="28" w:type="dxa"/>
        </w:tblCellMar>
      </w:tblPr>
      <w:tblGrid>
        <w:gridCol w:w="948"/>
        <w:gridCol w:w="833"/>
        <w:gridCol w:w="843"/>
        <w:gridCol w:w="403"/>
        <w:gridCol w:w="403"/>
        <w:gridCol w:w="408"/>
        <w:gridCol w:w="599"/>
        <w:gridCol w:w="599"/>
        <w:gridCol w:w="856"/>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4"/>
                <w:sz w:val="20"/>
              </w:rPr>
            </w:pPr>
            <w:r>
              <w:rPr>
                <w:rFonts w:ascii="Times New Roman;sans-serif" w:hAnsi="Times New Roman;sans-serif"/>
                <w:b/>
                <w:color w:val="000004"/>
                <w:sz w:val="20"/>
              </w:rPr>
              <w:t>001-39877</w:t>
            </w:r>
          </w:p>
        </w:tc>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85-3022075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 incorporation or organization)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 File Number)</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ans-serif" w:hAnsi="Times New Roman;sans-serif"/>
          <w:b/>
          <w:color w:val="000000"/>
          <w:sz w:val="20"/>
        </w:rPr>
        <w:t>229 West 43</w:t>
      </w:r>
      <w:r>
        <w:rPr>
          <w:rFonts w:ascii="Times New Roman;sans-serif" w:hAnsi="Times New Roman;sans-serif"/>
          <w:b/>
          <w:color w:val="000000"/>
          <w:sz w:val="13"/>
        </w:rPr>
        <w:t>rd</w:t>
      </w:r>
      <w:r>
        <w:rPr>
          <w:color w:val="000000"/>
        </w:rPr>
        <w:t xml:space="preserve"> </w:t>
      </w:r>
      <w:r>
        <w:rPr>
          <w:rFonts w:ascii="Times New Roman;sans-serif" w:hAnsi="Times New Roman;sans-serif"/>
          <w:b/>
          <w:color w:val="000000"/>
          <w:sz w:val="20"/>
        </w:rPr>
        <w:t>Street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10036</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registrant’s principal executive offices, and zip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(646) 397-2039</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 pursuant to Rule 13e-4(c) under the Exchange Act (17 CFR 240.13e-4(c))</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1"/>
        <w:gridCol w:w="2042"/>
        <w:gridCol w:w="2066"/>
        <w:gridCol w:w="109"/>
        <w:gridCol w:w="109"/>
        <w:gridCol w:w="109"/>
        <w:gridCol w:w="310"/>
        <w:gridCol w:w="310"/>
        <w:gridCol w:w="311"/>
        <w:gridCol w:w="109"/>
        <w:gridCol w:w="109"/>
        <w:gridCol w:w="109"/>
        <w:gridCol w:w="564"/>
        <w:gridCol w:w="564"/>
        <w:gridCol w:w="803"/>
      </w:tblGrid>
      <w:tr>
        <w:trPr/>
        <w:tc>
          <w:tcPr>
            <w:tcW w:w="258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ans-serif" w:hAnsi="Times New Roman;sans-serif"/>
                <w:b w:val="false"/>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ans-serif" w:hAnsi="Times New Roman;sans-serif"/>
                <w:b w:val="false"/>
                <w:color w:val="000000"/>
                <w:sz w:val="20"/>
              </w:rPr>
              <w:t>on which registered</w:t>
            </w:r>
          </w:p>
        </w:tc>
      </w:tr>
      <w:tr>
        <w:trPr/>
        <w:tc>
          <w:tcPr>
            <w:tcW w:w="6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BZFD</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6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warrants, each whole warrant exercisable for one share of Class A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BZFDW</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0" w:after="0"/>
        <w:jc w:val="lef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4"/>
        </w:rPr>
        <w:t>x</w:t>
      </w:r>
    </w:p>
    <w:p>
      <w:pPr>
        <w:pStyle w:val="TextBody"/>
        <w:bidi w:val="0"/>
        <w:spacing w:lineRule="auto" w:line="276"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3.01    Notice of Delisting or Failure to Satisfy a Continued Listing Rule or Standard; Transfer of Listing.</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On May 31, 2023, BuzzFeed,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received a letter (the “</w:t>
      </w:r>
      <w:r>
        <w:rPr>
          <w:rFonts w:ascii="Times New Roman;sans-serif" w:hAnsi="Times New Roman;sans-serif"/>
          <w:b w:val="false"/>
          <w:color w:val="000000"/>
          <w:sz w:val="20"/>
          <w:u w:val="single"/>
        </w:rPr>
        <w:t>Notice</w:t>
      </w:r>
      <w:r>
        <w:rPr>
          <w:color w:val="000000"/>
        </w:rPr>
        <w:t>”</w:t>
      </w:r>
      <w:r>
        <w:rPr>
          <w:rFonts w:ascii="Times New Roman;sans-serif" w:hAnsi="Times New Roman;sans-serif"/>
          <w:b w:val="false"/>
          <w:color w:val="000000"/>
          <w:sz w:val="20"/>
        </w:rPr>
        <w:t>) from the Listing Qualifications Department (the “</w:t>
      </w:r>
      <w:r>
        <w:rPr>
          <w:rFonts w:ascii="Times New Roman;sans-serif" w:hAnsi="Times New Roman;sans-serif"/>
          <w:b w:val="false"/>
          <w:color w:val="000000"/>
          <w:sz w:val="20"/>
          <w:u w:val="single"/>
        </w:rPr>
        <w:t>Staff</w:t>
      </w:r>
      <w:r>
        <w:rPr>
          <w:color w:val="000000"/>
        </w:rPr>
        <w:t>”</w:t>
      </w:r>
      <w:r>
        <w:rPr>
          <w:rFonts w:ascii="Times New Roman;sans-serif" w:hAnsi="Times New Roman;sans-serif"/>
          <w:b w:val="false"/>
          <w:color w:val="000000"/>
          <w:sz w:val="20"/>
        </w:rPr>
        <w:t>) of The Nasdaq Stock Market LLC (“</w:t>
      </w:r>
      <w:r>
        <w:rPr>
          <w:rFonts w:ascii="Times New Roman;sans-serif" w:hAnsi="Times New Roman;sans-serif"/>
          <w:b w:val="false"/>
          <w:color w:val="000000"/>
          <w:sz w:val="20"/>
          <w:u w:val="single"/>
        </w:rPr>
        <w:t>Nasdaq</w:t>
      </w:r>
      <w:r>
        <w:rPr>
          <w:color w:val="000000"/>
        </w:rPr>
        <w:t>”</w:t>
      </w:r>
      <w:r>
        <w:rPr>
          <w:rFonts w:ascii="Times New Roman;sans-serif" w:hAnsi="Times New Roman;sans-serif"/>
          <w:b w:val="false"/>
          <w:color w:val="000000"/>
          <w:sz w:val="20"/>
        </w:rPr>
        <w:t>) notifying the Company that, for the previous 30 consecutive business days, the bid price for the Company’s common stock had closed below the minimum $1.00 per share requirement for continued listing on The Nasdaq Global Market under Nasdaq Listing Rule 5550(a)(2) (the “</w:t>
      </w:r>
      <w:r>
        <w:rPr>
          <w:rFonts w:ascii="Times New Roman;sans-serif" w:hAnsi="Times New Roman;sans-serif"/>
          <w:b w:val="false"/>
          <w:color w:val="000000"/>
          <w:sz w:val="20"/>
          <w:u w:val="single"/>
        </w:rPr>
        <w:t>Bid Price Requirement</w:t>
      </w:r>
      <w:r>
        <w:rPr>
          <w:color w:val="000000"/>
        </w:rPr>
        <w:t>”</w:t>
      </w:r>
      <w:r>
        <w:rPr>
          <w:rFonts w:ascii="Times New Roman;sans-serif" w:hAnsi="Times New Roman;sans-serif"/>
          <w:b w:val="false"/>
          <w:color w:val="000000"/>
          <w:sz w:val="20"/>
        </w:rPr>
        <w:t>). The Notice has no effect at this time on the Company’s common stock or warrants, which continue to trade on The Nasdaq Global Market under the symbols “BZFD” and “BZFDW,” respectively.</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In accordance with Nasdaq Listing Rule 5810(c)(3)(A), the Company has been provided an initial period of 180 calendar days, or until November 27</w:t>
      </w:r>
      <w:r>
        <w:rPr>
          <w:rFonts w:ascii="Times New Roman;sans-serif" w:hAnsi="Times New Roman;sans-serif"/>
          <w:b/>
          <w:color w:val="000000"/>
          <w:sz w:val="20"/>
        </w:rPr>
        <w:t xml:space="preserve">, </w:t>
      </w:r>
      <w:r>
        <w:rPr>
          <w:rFonts w:ascii="Times New Roman;sans-serif" w:hAnsi="Times New Roman;sans-serif"/>
          <w:b w:val="false"/>
          <w:color w:val="000000"/>
          <w:sz w:val="20"/>
        </w:rPr>
        <w:t>2023 (the “</w:t>
      </w:r>
      <w:r>
        <w:rPr>
          <w:rFonts w:ascii="Times New Roman;sans-serif" w:hAnsi="Times New Roman;sans-serif"/>
          <w:b w:val="false"/>
          <w:color w:val="000000"/>
          <w:sz w:val="20"/>
          <w:u w:val="single"/>
        </w:rPr>
        <w:t>Compliance Date</w:t>
      </w:r>
      <w:r>
        <w:rPr>
          <w:color w:val="000000"/>
        </w:rPr>
        <w:t>”</w:t>
      </w:r>
      <w:r>
        <w:rPr>
          <w:rFonts w:ascii="Times New Roman;sans-serif" w:hAnsi="Times New Roman;sans-serif"/>
          <w:b w:val="false"/>
          <w:color w:val="000000"/>
          <w:sz w:val="20"/>
        </w:rPr>
        <w:t>), to regain compliance with the Bid Price Requirement. If, at any time before the Compliance Date, the bid price for the Company’s common stock closes at $1.00 or more for at least 10 consecutive business days, unless the Staff exercises its discretion to extend this 10-day period pursuant to Nasdaq Listing Rule 5810(c)(3)(H), the Staff will provide written notification to the Company that it has regained compliance with the Bid Price Requirement.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is not in compliance with the Bid Price Requirement by the Compliance Date, the Company may qualify for a second 180 calendar day compliance period. To qualify, the Company would be required, among other things, to meet the continued listing requirement for the market value of publicly held shares, as well as the standards for initial listing on The Nasdaq Global Market with the exception of the Bid Price Requirement, and would need to provide written notice of its intention to cure the bid price deficiency during the second compliance period. If the Company does not qualify for, or fails to regain compliance during, a second compliance period, then the Staff will provide written notification to the Company that its common stock will be subject to delisting. At that time, the Company may appeal the Staff’s delisting determination to the Nasdaq Listing Qualifications Panel. However, there can be no assurance that, if the Company receives a delisting notice and appeals the delisting determination, such an appeal would be successful.</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monitor the closing bid price of its common stock and may, if appropriate, consider available options to regain compliance with the Bid Price Requirement.</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5.03     Amendments to Articles of Incorporation or Bylaws; Change in Fiscal Year.</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As discussed below in Item 5.07, on May 31, 2023, the Company held its 2023 annual meeting of stockholders (the “</w:t>
      </w:r>
      <w:r>
        <w:rPr>
          <w:rFonts w:ascii="Times New Roman;sans-serif" w:hAnsi="Times New Roman;sans-serif"/>
          <w:b w:val="false"/>
          <w:color w:val="000000"/>
          <w:sz w:val="20"/>
          <w:u w:val="single"/>
        </w:rPr>
        <w:t>Annual Meeting</w:t>
      </w:r>
      <w:r>
        <w:rPr>
          <w:color w:val="000000"/>
        </w:rPr>
        <w:t>”</w:t>
      </w:r>
      <w:r>
        <w:rPr>
          <w:rFonts w:ascii="Times New Roman;sans-serif" w:hAnsi="Times New Roman;sans-serif"/>
          <w:b w:val="false"/>
          <w:color w:val="000000"/>
          <w:sz w:val="20"/>
        </w:rPr>
        <w:t>) and, at the Annual Meeting, the Company’s stockholders approved an amendment to the Company’s second amended and restated certificate of incorporation to eliminate or limit the monetary liability of certain of the Company’s officers for breach of the fiduciary duty of care, as permitted by recent amendments to Section 102(b)(7) of the Delaware General Corporation Law (such amendment, the “</w:t>
      </w:r>
      <w:r>
        <w:rPr>
          <w:rFonts w:ascii="Times New Roman;sans-serif" w:hAnsi="Times New Roman;sans-serif"/>
          <w:b w:val="false"/>
          <w:color w:val="000000"/>
          <w:sz w:val="20"/>
          <w:u w:val="single"/>
        </w:rPr>
        <w:t>Certificate of Amendment</w:t>
      </w:r>
      <w:r>
        <w:rPr>
          <w:color w:val="000000"/>
        </w:rPr>
        <w:t>”</w:t>
      </w:r>
      <w:r>
        <w:rPr>
          <w:rFonts w:ascii="Times New Roman;sans-serif" w:hAnsi="Times New Roman;sans-serif"/>
          <w:b w:val="false"/>
          <w:color w:val="000000"/>
          <w:sz w:val="20"/>
        </w:rPr>
        <w:t>). The Company filed the Certificate of Amendment with the Secretary of State of the State of Delaware on June 2, 2023.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A description of the Certificate of Amendment is set forth in the Company’s definitive proxy statement filed with the U.S. Securities and Exchange Commission on April 21, 2023 in connection with the Annual Meeting (the “</w:t>
      </w:r>
      <w:r>
        <w:rPr>
          <w:rFonts w:ascii="Times New Roman;sans-serif" w:hAnsi="Times New Roman;sans-serif"/>
          <w:b w:val="false"/>
          <w:color w:val="000000"/>
          <w:sz w:val="20"/>
          <w:u w:val="single"/>
        </w:rPr>
        <w:t>2023 Proxy Statement</w:t>
      </w:r>
      <w:r>
        <w:rPr>
          <w:color w:val="000000"/>
        </w:rPr>
        <w:t>”</w:t>
      </w:r>
      <w:r>
        <w:rPr>
          <w:rFonts w:ascii="Times New Roman;sans-serif" w:hAnsi="Times New Roman;sans-serif"/>
          <w:b w:val="false"/>
          <w:color w:val="000000"/>
          <w:sz w:val="20"/>
        </w:rPr>
        <w:t>) in the section entitled “Proposal No. 2</w:t>
      </w:r>
      <w:r>
        <w:rPr>
          <w:color w:val="000000"/>
        </w:rPr>
        <w:t>—</w:t>
      </w:r>
      <w:r>
        <w:rPr>
          <w:rFonts w:ascii="Times New Roman;sans-serif" w:hAnsi="Times New Roman;sans-serif"/>
          <w:b w:val="false"/>
          <w:color w:val="000000"/>
          <w:sz w:val="20"/>
        </w:rPr>
        <w:t xml:space="preserve">Approval of Amendment to our Second Amended and Restated Certificate of Incorporation to Limit the Liability of Certain Officers of the Company as Permitted by Recent Amendments to the DGCL,” which description is incorporated herein by reference.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description of the Certificate of Amendment in the 2023 Proxy Statement and in this Current Report on Form 8-K are both qualified in their entirety by reference to the full text of the Certificate of Amendment, a copy of which is filed as Exhibit 3.1 hereto and incorporated herein by reference.</w:t>
      </w:r>
    </w:p>
    <w:p>
      <w:pPr>
        <w:pStyle w:val="TextBody"/>
        <w:bidi w:val="0"/>
        <w:spacing w:before="0" w:after="0"/>
        <w:ind w:left="0" w:right="0" w:firstLine="72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noted in Item 5.03 above, on May 31, 2023, the Company held the Annual Meeting. The following is a brief description of each proposal voted upon at the Annual Meeting and the final voting results for each proposal. For more information about these proposals, please refer to the 2023 Proxy Statement and, for Proposal 2, Item 5.03 above.</w:t>
      </w:r>
    </w:p>
    <w:p>
      <w:pPr>
        <w:pStyle w:val="TextBody"/>
        <w:bidi w:val="0"/>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Proposal 1: Election of Directors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Janet Rollé and Adam Rothstein were elected to the Company’s board of directors as Class II directors, each to serve a three-year term expiring at the 2026 annual meeting of stockholders and until such director’s successor is duly elected and qualified. The results of the election were as follows: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246"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379"/>
        <w:gridCol w:w="379"/>
        <w:gridCol w:w="383"/>
        <w:gridCol w:w="109"/>
        <w:gridCol w:w="109"/>
        <w:gridCol w:w="109"/>
        <w:gridCol w:w="309"/>
        <w:gridCol w:w="309"/>
        <w:gridCol w:w="313"/>
        <w:gridCol w:w="109"/>
        <w:gridCol w:w="109"/>
        <w:gridCol w:w="109"/>
        <w:gridCol w:w="474"/>
        <w:gridCol w:w="474"/>
        <w:gridCol w:w="67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Janet Rollé</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375,656,510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23,622,660</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Rothstein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377,275,267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23,622,660</w:t>
            </w:r>
          </w:p>
        </w:tc>
      </w:tr>
    </w:tbl>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Proposal 2: Amendment to Our Certificate of Incorporation</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approved the amendment of the Company’s second amended and restated certificate of incorporation to add a provision limiting the liability of certain of the Company’s officers. The results of the vote were as follows:</w:t>
      </w:r>
    </w:p>
    <w:p>
      <w:pPr>
        <w:pStyle w:val="TextBody"/>
        <w:bidi w:val="0"/>
        <w:spacing w:before="0" w:after="0"/>
        <w:jc w:val="left"/>
        <w:rPr/>
      </w:pPr>
      <w:r>
        <w:rPr/>
      </w:r>
    </w:p>
    <w:tbl>
      <w:tblPr>
        <w:tblW w:w="5273"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59"/>
        <w:gridCol w:w="259"/>
        <w:gridCol w:w="263"/>
        <w:gridCol w:w="109"/>
        <w:gridCol w:w="109"/>
        <w:gridCol w:w="109"/>
        <w:gridCol w:w="245"/>
        <w:gridCol w:w="245"/>
        <w:gridCol w:w="246"/>
        <w:gridCol w:w="109"/>
        <w:gridCol w:w="109"/>
        <w:gridCol w:w="109"/>
        <w:gridCol w:w="474"/>
        <w:gridCol w:w="474"/>
        <w:gridCol w:w="671"/>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377,307,170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23,622,660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Proposal 3: Appointment of the Company’s Independent Registered Public Accounting Firm</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ratified the appointment of Deloitte &amp; Touche LLP as the Company’s independent registered public accounting firm for the fiscal year ending December 31, 2023. The results of the vote were as follows:</w:t>
      </w:r>
    </w:p>
    <w:p>
      <w:pPr>
        <w:pStyle w:val="TextBody"/>
        <w:bidi w:val="0"/>
        <w:spacing w:before="0" w:after="0"/>
        <w:ind w:left="0" w:right="0" w:firstLine="720"/>
        <w:jc w:val="both"/>
        <w:rPr/>
      </w:pPr>
      <w:r>
        <w:rPr/>
      </w:r>
    </w:p>
    <w:tbl>
      <w:tblPr>
        <w:tblW w:w="3742"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59"/>
        <w:gridCol w:w="259"/>
        <w:gridCol w:w="263"/>
        <w:gridCol w:w="109"/>
        <w:gridCol w:w="109"/>
        <w:gridCol w:w="109"/>
        <w:gridCol w:w="413"/>
        <w:gridCol w:w="413"/>
        <w:gridCol w:w="325"/>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Abstain</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400,566,188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81"/>
        <w:gridCol w:w="422"/>
        <w:gridCol w:w="424"/>
        <w:gridCol w:w="109"/>
        <w:gridCol w:w="109"/>
        <w:gridCol w:w="109"/>
        <w:gridCol w:w="2495"/>
        <w:gridCol w:w="2495"/>
        <w:gridCol w:w="3561"/>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61"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5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pPr>
            <w:hyperlink w:anchor="exhibit31.htm">
              <w:r>
                <w:rPr>
                  <w:rStyle w:val="InternetLink"/>
                  <w:rFonts w:ascii="Times New Roman;sans-serif" w:hAnsi="Times New Roman;sans-serif"/>
                  <w:b w:val="false"/>
                  <w:color w:val="000080"/>
                  <w:sz w:val="20"/>
                  <w:u w:val="single"/>
                </w:rPr>
                <w:t xml:space="preserve">Certificate of Amendment of Second Amended and Restated Certificate of Incorporation of BuzzFeed, Inc. dated as of </w:t>
              </w:r>
            </w:hyperlink>
            <w:hyperlink w:anchor="exhibit31.htm">
              <w:r>
                <w:rPr>
                  <w:rStyle w:val="InternetLink"/>
                  <w:rFonts w:ascii="Times New Roman;sans-serif" w:hAnsi="Times New Roman;sans-serif"/>
                  <w:b w:val="false"/>
                  <w:color w:val="000080"/>
                  <w:sz w:val="20"/>
                  <w:u w:val="single"/>
                </w:rPr>
                <w:t>June 2</w:t>
              </w:r>
            </w:hyperlink>
            <w:hyperlink w:anchor="exhibit31.htm">
              <w:r>
                <w:rPr>
                  <w:rStyle w:val="InternetLink"/>
                  <w:rFonts w:ascii="Times New Roman;sans-serif" w:hAnsi="Times New Roman;sans-serif"/>
                  <w:b w:val="false"/>
                  <w:color w:val="000080"/>
                  <w:sz w:val="20"/>
                  <w:u w:val="single"/>
                </w:rPr>
                <w:t>, 2023</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40"/>
        <w:ind w:left="0" w:right="0" w:hanging="72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90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15"/>
        <w:gridCol w:w="215"/>
        <w:gridCol w:w="215"/>
        <w:gridCol w:w="750"/>
        <w:gridCol w:w="750"/>
        <w:gridCol w:w="10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 2023</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/s/ Jonah Peretti</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Jonah Peretti</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AMENDMENT TO THE SECOND AMENDED AND RESTATED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INCORPORATION OF BUZZFEED, INC.</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BuzzFeed, Inc., a Delaware corporation (the “Corporation”), does hereby certify: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That the Second Amended and Restated Certificate of Incorporation of the Corporation is hereby amended as follows:</w:t>
      </w:r>
    </w:p>
    <w:p>
      <w:pPr>
        <w:pStyle w:val="TextBody"/>
        <w:bidi w:val="0"/>
        <w:spacing w:before="0" w:after="0"/>
        <w:ind w:left="0" w:right="0" w:firstLine="36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A.Article VIII is hereby amended to read in its entirety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0"/>
        </w:rPr>
        <w:t>ARTICLE VIII: DIRECTOR </w:t>
      </w:r>
      <w:r>
        <w:rPr>
          <w:rFonts w:ascii="Times New Roman;sans-serif" w:hAnsi="Times New Roman;sans-serif"/>
          <w:b/>
          <w:i/>
          <w:color w:val="000000"/>
          <w:sz w:val="20"/>
          <w:u w:val="single"/>
        </w:rPr>
        <w:t>AND OFFICER</w:t>
      </w:r>
      <w:r>
        <w:rPr>
          <w:color w:val="000000"/>
        </w:rPr>
        <w:t> </w:t>
      </w:r>
      <w:r>
        <w:rPr>
          <w:rFonts w:ascii="Times New Roman;sans-serif" w:hAnsi="Times New Roman;sans-serif"/>
          <w:b/>
          <w:color w:val="000000"/>
          <w:sz w:val="20"/>
        </w:rPr>
        <w:t>LIABILITY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1.</w:t>
      </w:r>
      <w:r>
        <w:rPr>
          <w:rFonts w:ascii="Times New Roman;sans-serif" w:hAnsi="Times New Roman;sans-serif"/>
          <w:b/>
          <w:color w:val="000000"/>
          <w:sz w:val="20"/>
        </w:rPr>
        <w:t>Limitation of Liability</w:t>
      </w:r>
      <w:r>
        <w:rPr>
          <w:rFonts w:ascii="Times New Roman;sans-serif" w:hAnsi="Times New Roman;sans-serif"/>
          <w:b w:val="false"/>
          <w:color w:val="000000"/>
          <w:sz w:val="20"/>
        </w:rPr>
        <w:t>. To the fullest extent permitted by law, no director </w:t>
      </w:r>
      <w:r>
        <w:rPr>
          <w:rFonts w:ascii="Times New Roman;sans-serif" w:hAnsi="Times New Roman;sans-serif"/>
          <w:b/>
          <w:i/>
          <w:color w:val="000000"/>
          <w:sz w:val="20"/>
          <w:u w:val="single"/>
        </w:rPr>
        <w:t>or officer</w:t>
      </w:r>
      <w:r>
        <w:rPr>
          <w:color w:val="000000"/>
        </w:rPr>
        <w:t> </w:t>
      </w:r>
      <w:r>
        <w:rPr>
          <w:rFonts w:ascii="Times New Roman;sans-serif" w:hAnsi="Times New Roman;sans-serif"/>
          <w:b w:val="false"/>
          <w:color w:val="000000"/>
          <w:sz w:val="20"/>
        </w:rPr>
        <w:t>of the Corporation shall be personally liable for monetary damages for breach of fiduciary duty as a director</w:t>
      </w:r>
      <w:r>
        <w:rPr>
          <w:color w:val="000000"/>
        </w:rPr>
        <w:t> </w:t>
      </w:r>
      <w:r>
        <w:rPr>
          <w:rFonts w:ascii="Times New Roman;sans-serif" w:hAnsi="Times New Roman;sans-serif"/>
          <w:b/>
          <w:i/>
          <w:color w:val="000000"/>
          <w:sz w:val="20"/>
          <w:u w:val="single"/>
        </w:rPr>
        <w:t>or officer, as applicable</w:t>
      </w:r>
      <w:r>
        <w:rPr>
          <w:rFonts w:ascii="Times New Roman;sans-serif" w:hAnsi="Times New Roman;sans-serif"/>
          <w:b w:val="false"/>
          <w:color w:val="000000"/>
          <w:sz w:val="20"/>
          <w:u w:val="single"/>
        </w:rPr>
        <w:t>. </w:t>
      </w:r>
      <w:r>
        <w:rPr>
          <w:rFonts w:ascii="Times New Roman;sans-serif" w:hAnsi="Times New Roman;sans-serif"/>
          <w:b w:val="false"/>
          <w:color w:val="000000"/>
          <w:sz w:val="20"/>
        </w:rPr>
        <w:t>Without limiting the effect of the preceding sentence, if the General Corporation Law is hereafter amended to authorize the further elimination or limitation of the liability of a director</w:t>
      </w:r>
      <w:r>
        <w:rPr>
          <w:color w:val="000000"/>
        </w:rPr>
        <w:t> </w:t>
      </w:r>
      <w:r>
        <w:rPr>
          <w:rFonts w:ascii="Times New Roman;sans-serif" w:hAnsi="Times New Roman;sans-serif"/>
          <w:b/>
          <w:i/>
          <w:color w:val="000000"/>
          <w:sz w:val="20"/>
          <w:u w:val="single"/>
        </w:rPr>
        <w:t>or officer, as applicable</w:t>
      </w:r>
      <w:r>
        <w:rPr>
          <w:rFonts w:ascii="Times New Roman;sans-serif" w:hAnsi="Times New Roman;sans-serif"/>
          <w:b w:val="false"/>
          <w:color w:val="000000"/>
          <w:sz w:val="20"/>
        </w:rPr>
        <w:t>, then the liability of a director </w:t>
      </w:r>
      <w:r>
        <w:rPr>
          <w:rFonts w:ascii="Times New Roman;sans-serif" w:hAnsi="Times New Roman;sans-serif"/>
          <w:b/>
          <w:i/>
          <w:color w:val="000000"/>
          <w:sz w:val="20"/>
          <w:u w:val="single"/>
        </w:rPr>
        <w:t>or officer </w:t>
      </w:r>
      <w:r>
        <w:rPr>
          <w:rFonts w:ascii="Times New Roman;sans-serif" w:hAnsi="Times New Roman;sans-serif"/>
          <w:b w:val="false"/>
          <w:color w:val="000000"/>
          <w:sz w:val="20"/>
        </w:rPr>
        <w:t>of the Corporation shall be eliminated or limited to the fullest extent permitted by the General Corporation Law, as so amended.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2.</w:t>
      </w:r>
      <w:r>
        <w:rPr>
          <w:rFonts w:ascii="Times New Roman;sans-serif" w:hAnsi="Times New Roman;sans-serif"/>
          <w:b/>
          <w:color w:val="000000"/>
          <w:sz w:val="20"/>
        </w:rPr>
        <w:t>Change in Rights.</w:t>
      </w:r>
      <w:r>
        <w:rPr>
          <w:color w:val="000000"/>
        </w:rPr>
        <w:t xml:space="preserve"> </w:t>
      </w:r>
      <w:r>
        <w:rPr>
          <w:rFonts w:ascii="Times New Roman;sans-serif" w:hAnsi="Times New Roman;sans-serif"/>
          <w:b w:val="false"/>
          <w:color w:val="000000"/>
          <w:sz w:val="20"/>
        </w:rPr>
        <w:t>Neither any amendment nor repeal of this Article VIII, nor the adoption of any provision of this Restated Certificate inconsistent with this Article VIII, shall eliminate, reduce or otherwise adversely affect any limitation on the personal liability of a director or officer of the Corporation existing at the time of such amendment, repeal or adoption of such an inconsistent provision.</w:t>
      </w:r>
    </w:p>
    <w:p>
      <w:pPr>
        <w:pStyle w:val="TextBody"/>
        <w:bidi w:val="0"/>
        <w:spacing w:before="0" w:after="0"/>
        <w:ind w:left="0" w:right="0" w:hanging="36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SECOND: That the foregoing amendment to the Second Amended and Restated Certificate of Incorporation was duly adopted in accordance with the provisions of Section 242 of the Delaware General Corporation Law.</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This Certificate of Amendment shall become effective at 5:00 pm, Eastern Time, on June 2, 2023.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Amendment to be executed by a duly authorized officer on the date set forth below.</w:t>
      </w:r>
    </w:p>
    <w:tbl>
      <w:tblPr>
        <w:tblW w:w="74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98"/>
        <w:gridCol w:w="598"/>
        <w:gridCol w:w="598"/>
        <w:gridCol w:w="598"/>
        <w:gridCol w:w="598"/>
        <w:gridCol w:w="598"/>
        <w:gridCol w:w="598"/>
        <w:gridCol w:w="598"/>
        <w:gridCol w:w="598"/>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8" w:type="dxa"/>
            <w:gridSpan w:val="18"/>
            <w:tcBorders/>
            <w:tcMar>
              <w:top w:w="0" w:type="dxa"/>
              <w:left w:w="0" w:type="dxa"/>
              <w:bottom w:w="0" w:type="dxa"/>
              <w:right w:w="0" w:type="dxa"/>
            </w:tcMar>
            <w:vAlign w:val="center"/>
          </w:tcPr>
          <w:p>
            <w:pPr>
              <w:pStyle w:val="TableContents"/>
              <w:bidi w:val="0"/>
              <w:spacing w:before="0" w:after="100"/>
              <w:jc w:val="left"/>
              <w:rPr/>
            </w:pPr>
            <w:r>
              <w:rPr/>
            </w:r>
          </w:p>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BuzzFeed, Inc.</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FFFFFF"/>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Arroyo</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Arroyo</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Legal &amp; Compliance Officer and Corporate Secretary</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8" w:type="dxa"/>
            <w:gridSpan w:val="18"/>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June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1658</Words>
  <Characters>8937</Characters>
  <CharactersWithSpaces>10516</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