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6"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108" w:lineRule="exact"/>
        <w:rPr>
          <w:sz w:val="24"/>
          <w:szCs w:val="24"/>
          <w:color w:val="auto"/>
        </w:rPr>
      </w:pPr>
    </w:p>
    <w:p>
      <w:pPr>
        <w:ind w:left="380" w:hanging="354"/>
        <w:spacing w:after="0"/>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80" w:hanging="354"/>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436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Commission file number: 001-39877</w:t>
      </w:r>
    </w:p>
    <w:p>
      <w:pPr>
        <w:spacing w:after="0" w:line="21"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BuzzFeed,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5"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4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2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jc w:val="right"/>
              <w:ind w:right="1739"/>
              <w:spacing w:after="0"/>
              <w:rPr>
                <w:sz w:val="20"/>
                <w:szCs w:val="20"/>
                <w:color w:val="auto"/>
              </w:rPr>
            </w:pPr>
            <w:r>
              <w:rPr>
                <w:rFonts w:ascii="Arial" w:cs="Arial" w:eastAsia="Arial" w:hAnsi="Arial"/>
                <w:sz w:val="16"/>
                <w:szCs w:val="16"/>
                <w:b w:val="1"/>
                <w:bCs w:val="1"/>
                <w:color w:val="auto"/>
              </w:rPr>
              <w:t>85-3022075</w:t>
            </w:r>
          </w:p>
        </w:tc>
      </w:tr>
      <w:tr>
        <w:trPr>
          <w:trHeight w:val="257"/>
        </w:trPr>
        <w:tc>
          <w:tcPr>
            <w:tcW w:w="4440" w:type="dxa"/>
            <w:vAlign w:val="bottom"/>
          </w:tcPr>
          <w:p>
            <w:pPr>
              <w:jc w:val="center"/>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700" w:type="dxa"/>
            <w:vAlign w:val="bottom"/>
          </w:tcPr>
          <w:p>
            <w:pPr>
              <w:jc w:val="center"/>
              <w:ind w:right="639"/>
              <w:spacing w:after="0"/>
              <w:rPr>
                <w:sz w:val="20"/>
                <w:szCs w:val="20"/>
                <w:color w:val="auto"/>
              </w:rPr>
            </w:pPr>
            <w:r>
              <w:rPr>
                <w:rFonts w:ascii="Arial" w:cs="Arial" w:eastAsia="Arial" w:hAnsi="Arial"/>
                <w:sz w:val="16"/>
                <w:szCs w:val="16"/>
                <w:color w:val="auto"/>
                <w:w w:val="94"/>
              </w:rPr>
              <w:t>(I.R.S. Employer Identification No.)</w:t>
            </w:r>
          </w:p>
        </w:tc>
      </w:tr>
      <w:tr>
        <w:trPr>
          <w:trHeight w:val="270"/>
        </w:trPr>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0"/>
              </w:rPr>
              <w:t>229 West 43rd Street New York, New York</w:t>
            </w:r>
          </w:p>
        </w:tc>
        <w:tc>
          <w:tcPr>
            <w:tcW w:w="2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700" w:type="dxa"/>
            <w:vAlign w:val="bottom"/>
          </w:tcPr>
          <w:p>
            <w:pPr>
              <w:jc w:val="right"/>
              <w:ind w:right="1919"/>
              <w:spacing w:after="0"/>
              <w:rPr>
                <w:sz w:val="20"/>
                <w:szCs w:val="20"/>
                <w:color w:val="auto"/>
              </w:rPr>
            </w:pPr>
            <w:r>
              <w:rPr>
                <w:rFonts w:ascii="Arial" w:cs="Arial" w:eastAsia="Arial" w:hAnsi="Arial"/>
                <w:sz w:val="16"/>
                <w:szCs w:val="16"/>
                <w:b w:val="1"/>
                <w:bCs w:val="1"/>
                <w:color w:val="auto"/>
              </w:rPr>
              <w:t>10036</w:t>
            </w:r>
          </w:p>
        </w:tc>
      </w:tr>
      <w:tr>
        <w:trPr>
          <w:trHeight w:val="243"/>
        </w:trPr>
        <w:tc>
          <w:tcPr>
            <w:tcW w:w="444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2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00" w:type="dxa"/>
            <w:vAlign w:val="bottom"/>
          </w:tcPr>
          <w:p>
            <w:pPr>
              <w:jc w:val="center"/>
              <w:ind w:right="639"/>
              <w:spacing w:after="0"/>
              <w:rPr>
                <w:sz w:val="20"/>
                <w:szCs w:val="20"/>
                <w:color w:val="auto"/>
              </w:rPr>
            </w:pPr>
            <w:r>
              <w:rPr>
                <w:rFonts w:ascii="Arial" w:cs="Arial" w:eastAsia="Arial" w:hAnsi="Arial"/>
                <w:sz w:val="16"/>
                <w:szCs w:val="16"/>
                <w:color w:val="auto"/>
                <w:w w:val="92"/>
              </w:rPr>
              <w:t>(Zip Code)</w:t>
            </w:r>
          </w:p>
        </w:tc>
      </w:tr>
      <w:tr>
        <w:trPr>
          <w:trHeight w:val="310"/>
        </w:trPr>
        <w:tc>
          <w:tcPr>
            <w:tcW w:w="4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3"/>
              </w:rPr>
              <w:t>(646) 397-2039</w:t>
            </w:r>
          </w:p>
        </w:tc>
        <w:tc>
          <w:tcPr>
            <w:tcW w:w="7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7540" w:type="dxa"/>
            <w:vAlign w:val="bottom"/>
            <w:gridSpan w:val="3"/>
          </w:tcPr>
          <w:p>
            <w:pPr>
              <w:jc w:val="center"/>
              <w:ind w:left="3618"/>
              <w:spacing w:after="0"/>
              <w:rPr>
                <w:sz w:val="20"/>
                <w:szCs w:val="20"/>
                <w:color w:val="auto"/>
              </w:rPr>
            </w:pPr>
            <w:r>
              <w:rPr>
                <w:rFonts w:ascii="Arial" w:cs="Arial" w:eastAsia="Arial" w:hAnsi="Arial"/>
                <w:sz w:val="16"/>
                <w:szCs w:val="16"/>
                <w:color w:val="auto"/>
                <w:w w:val="91"/>
              </w:rPr>
              <w:t>(Registrant’s telephone number, including area code)</w:t>
            </w:r>
          </w:p>
        </w:tc>
        <w:tc>
          <w:tcPr>
            <w:tcW w:w="3700" w:type="dxa"/>
            <w:vAlign w:val="bottom"/>
          </w:tcPr>
          <w:p>
            <w:pPr>
              <w:spacing w:after="0"/>
              <w:rPr>
                <w:sz w:val="24"/>
                <w:szCs w:val="24"/>
                <w:color w:val="auto"/>
              </w:rPr>
            </w:pPr>
          </w:p>
        </w:tc>
      </w:tr>
      <w:tr>
        <w:trPr>
          <w:trHeight w:val="310"/>
        </w:trPr>
        <w:tc>
          <w:tcPr>
            <w:tcW w:w="7540" w:type="dxa"/>
            <w:vAlign w:val="bottom"/>
            <w:gridSpan w:val="3"/>
          </w:tcPr>
          <w:p>
            <w:pPr>
              <w:jc w:val="center"/>
              <w:ind w:left="3618"/>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700" w:type="dxa"/>
            <w:vAlign w:val="bottom"/>
          </w:tcPr>
          <w:p>
            <w:pPr>
              <w:spacing w:after="0"/>
              <w:rPr>
                <w:sz w:val="24"/>
                <w:szCs w:val="24"/>
                <w:color w:val="auto"/>
              </w:rPr>
            </w:pPr>
          </w:p>
        </w:tc>
      </w:tr>
      <w:tr>
        <w:trPr>
          <w:trHeight w:val="74"/>
        </w:trPr>
        <w:tc>
          <w:tcPr>
            <w:tcW w:w="444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r>
      <w:tr>
        <w:trPr>
          <w:trHeight w:val="217"/>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700" w:type="dxa"/>
            <w:vAlign w:val="bottom"/>
          </w:tcPr>
          <w:p>
            <w:pPr>
              <w:spacing w:after="0"/>
              <w:rPr>
                <w:sz w:val="18"/>
                <w:szCs w:val="18"/>
                <w:color w:val="auto"/>
              </w:rPr>
            </w:pPr>
          </w:p>
        </w:tc>
        <w:tc>
          <w:tcPr>
            <w:tcW w:w="3700" w:type="dxa"/>
            <w:vAlign w:val="bottom"/>
            <w:tcBorders>
              <w:right w:val="single" w:sz="8" w:color="auto"/>
            </w:tcBorders>
          </w:tcPr>
          <w:p>
            <w:pPr>
              <w:jc w:val="center"/>
              <w:ind w:right="639"/>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0"/>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 A Common Stock, $0.0001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BZFD</w:t>
            </w:r>
          </w:p>
        </w:tc>
        <w:tc>
          <w:tcPr>
            <w:tcW w:w="70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w w:val="95"/>
              </w:rPr>
              <w:t>The Nasdaq Stock Market LLC</w:t>
            </w:r>
          </w:p>
        </w:tc>
      </w:tr>
      <w:tr>
        <w:trPr>
          <w:trHeight w:val="202"/>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Redeemable warrants, each whole warrant exercisable for one</w:t>
            </w:r>
          </w:p>
        </w:tc>
        <w:tc>
          <w:tcPr>
            <w:tcW w:w="24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r>
      <w:tr>
        <w:trPr>
          <w:trHeight w:val="203"/>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 of Class A Common Stock at an exercise price of $11.50</w:t>
            </w:r>
          </w:p>
        </w:tc>
        <w:tc>
          <w:tcPr>
            <w:tcW w:w="24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BZFDW</w:t>
            </w:r>
          </w:p>
        </w:tc>
        <w:tc>
          <w:tcPr>
            <w:tcW w:w="70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3" w:lineRule="exact"/>
        <w:rPr>
          <w:sz w:val="24"/>
          <w:szCs w:val="24"/>
          <w:color w:val="auto"/>
        </w:rPr>
      </w:pPr>
    </w:p>
    <w:p>
      <w:pPr>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0" w:lineRule="exact"/>
        <w:rPr>
          <w:sz w:val="24"/>
          <w:szCs w:val="24"/>
          <w:color w:val="auto"/>
        </w:rPr>
      </w:pPr>
    </w:p>
    <w:p>
      <w:pPr>
        <w:ind w:right="40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4"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2140" w:type="dxa"/>
            <w:vAlign w:val="bottom"/>
          </w:tcPr>
          <w:p>
            <w:pPr>
              <w:jc w:val="center"/>
              <w:ind w:right="599"/>
              <w:spacing w:after="0"/>
              <w:rPr>
                <w:sz w:val="20"/>
                <w:szCs w:val="20"/>
                <w:color w:val="auto"/>
              </w:rPr>
            </w:pPr>
            <w:r>
              <w:rPr>
                <w:rFonts w:ascii="Arial" w:cs="Arial" w:eastAsia="Arial" w:hAnsi="Arial"/>
                <w:sz w:val="16"/>
                <w:szCs w:val="16"/>
                <w:color w:val="auto"/>
                <w:w w:val="92"/>
              </w:rPr>
              <w:t>Large accelerated filer</w:t>
            </w:r>
          </w:p>
        </w:tc>
        <w:tc>
          <w:tcPr>
            <w:tcW w:w="2020" w:type="dxa"/>
            <w:vAlign w:val="bottom"/>
          </w:tcPr>
          <w:p>
            <w:pPr>
              <w:ind w:left="660"/>
              <w:spacing w:after="0"/>
              <w:rPr>
                <w:sz w:val="20"/>
                <w:szCs w:val="20"/>
                <w:color w:val="auto"/>
              </w:rPr>
            </w:pPr>
            <w:r>
              <w:rPr>
                <w:rFonts w:ascii="Arial" w:cs="Arial" w:eastAsia="Arial" w:hAnsi="Arial"/>
                <w:sz w:val="16"/>
                <w:szCs w:val="16"/>
                <w:color w:val="auto"/>
              </w:rPr>
              <w:t>o</w:t>
            </w:r>
          </w:p>
        </w:tc>
        <w:tc>
          <w:tcPr>
            <w:tcW w:w="4200" w:type="dxa"/>
            <w:vAlign w:val="bottom"/>
          </w:tcPr>
          <w:p>
            <w:pPr>
              <w:ind w:left="1260"/>
              <w:spacing w:after="0"/>
              <w:rPr>
                <w:sz w:val="20"/>
                <w:szCs w:val="20"/>
                <w:color w:val="auto"/>
              </w:rPr>
            </w:pPr>
            <w:r>
              <w:rPr>
                <w:rFonts w:ascii="Arial" w:cs="Arial" w:eastAsia="Arial" w:hAnsi="Arial"/>
                <w:sz w:val="16"/>
                <w:szCs w:val="16"/>
                <w:color w:val="auto"/>
              </w:rPr>
              <w:t>Accelerated filer</w:t>
            </w:r>
          </w:p>
        </w:tc>
        <w:tc>
          <w:tcPr>
            <w:tcW w:w="1260" w:type="dxa"/>
            <w:vAlign w:val="bottom"/>
          </w:tcPr>
          <w:p>
            <w:pPr>
              <w:ind w:left="1180"/>
              <w:spacing w:after="0"/>
              <w:rPr>
                <w:sz w:val="20"/>
                <w:szCs w:val="20"/>
                <w:color w:val="auto"/>
              </w:rPr>
            </w:pPr>
            <w:r>
              <w:rPr>
                <w:rFonts w:ascii="Arial" w:cs="Arial" w:eastAsia="Arial" w:hAnsi="Arial"/>
                <w:sz w:val="16"/>
                <w:szCs w:val="16"/>
                <w:color w:val="auto"/>
                <w:w w:val="74"/>
              </w:rPr>
              <w:t>x</w:t>
            </w:r>
          </w:p>
        </w:tc>
      </w:tr>
      <w:tr>
        <w:trPr>
          <w:trHeight w:val="243"/>
        </w:trPr>
        <w:tc>
          <w:tcPr>
            <w:tcW w:w="2140" w:type="dxa"/>
            <w:vAlign w:val="bottom"/>
          </w:tcPr>
          <w:p>
            <w:pPr>
              <w:jc w:val="center"/>
              <w:ind w:right="599"/>
              <w:spacing w:after="0"/>
              <w:rPr>
                <w:sz w:val="20"/>
                <w:szCs w:val="20"/>
                <w:color w:val="auto"/>
              </w:rPr>
            </w:pPr>
            <w:r>
              <w:rPr>
                <w:rFonts w:ascii="Arial" w:cs="Arial" w:eastAsia="Arial" w:hAnsi="Arial"/>
                <w:sz w:val="16"/>
                <w:szCs w:val="16"/>
                <w:color w:val="auto"/>
                <w:w w:val="93"/>
              </w:rPr>
              <w:t>Non-accelerated filer</w:t>
            </w:r>
          </w:p>
        </w:tc>
        <w:tc>
          <w:tcPr>
            <w:tcW w:w="2020" w:type="dxa"/>
            <w:vAlign w:val="bottom"/>
          </w:tcPr>
          <w:p>
            <w:pPr>
              <w:ind w:left="660"/>
              <w:spacing w:after="0"/>
              <w:rPr>
                <w:sz w:val="20"/>
                <w:szCs w:val="20"/>
                <w:color w:val="auto"/>
              </w:rPr>
            </w:pPr>
            <w:r>
              <w:rPr>
                <w:rFonts w:ascii="Arial" w:cs="Arial" w:eastAsia="Arial" w:hAnsi="Arial"/>
                <w:sz w:val="16"/>
                <w:szCs w:val="16"/>
                <w:color w:val="auto"/>
              </w:rPr>
              <w:t>o</w:t>
            </w:r>
          </w:p>
        </w:tc>
        <w:tc>
          <w:tcPr>
            <w:tcW w:w="4200" w:type="dxa"/>
            <w:vAlign w:val="bottom"/>
          </w:tcPr>
          <w:p>
            <w:pPr>
              <w:ind w:left="1260"/>
              <w:spacing w:after="0"/>
              <w:rPr>
                <w:sz w:val="20"/>
                <w:szCs w:val="20"/>
                <w:color w:val="auto"/>
              </w:rPr>
            </w:pPr>
            <w:r>
              <w:rPr>
                <w:rFonts w:ascii="Arial" w:cs="Arial" w:eastAsia="Arial" w:hAnsi="Arial"/>
                <w:sz w:val="16"/>
                <w:szCs w:val="16"/>
                <w:color w:val="auto"/>
              </w:rPr>
              <w:t>Smaller reporting company</w:t>
            </w:r>
          </w:p>
        </w:tc>
        <w:tc>
          <w:tcPr>
            <w:tcW w:w="1260" w:type="dxa"/>
            <w:vAlign w:val="bottom"/>
          </w:tcPr>
          <w:p>
            <w:pPr>
              <w:ind w:left="1180"/>
              <w:spacing w:after="0"/>
              <w:rPr>
                <w:sz w:val="20"/>
                <w:szCs w:val="20"/>
                <w:color w:val="auto"/>
              </w:rPr>
            </w:pPr>
            <w:r>
              <w:rPr>
                <w:rFonts w:ascii="Arial" w:cs="Arial" w:eastAsia="Arial" w:hAnsi="Arial"/>
                <w:sz w:val="16"/>
                <w:szCs w:val="16"/>
                <w:color w:val="auto"/>
                <w:w w:val="74"/>
              </w:rPr>
              <w:t>x</w:t>
            </w:r>
          </w:p>
        </w:tc>
      </w:tr>
      <w:tr>
        <w:trPr>
          <w:trHeight w:val="257"/>
        </w:trPr>
        <w:tc>
          <w:tcPr>
            <w:tcW w:w="21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200" w:type="dxa"/>
            <w:vAlign w:val="bottom"/>
          </w:tcPr>
          <w:p>
            <w:pPr>
              <w:ind w:left="1260"/>
              <w:spacing w:after="0"/>
              <w:rPr>
                <w:sz w:val="20"/>
                <w:szCs w:val="20"/>
                <w:color w:val="auto"/>
              </w:rPr>
            </w:pPr>
            <w:r>
              <w:rPr>
                <w:rFonts w:ascii="Arial" w:cs="Arial" w:eastAsia="Arial" w:hAnsi="Arial"/>
                <w:sz w:val="16"/>
                <w:szCs w:val="16"/>
                <w:color w:val="auto"/>
              </w:rPr>
              <w:t>Emerging growth company</w:t>
            </w:r>
          </w:p>
        </w:tc>
        <w:tc>
          <w:tcPr>
            <w:tcW w:w="1260" w:type="dxa"/>
            <w:vAlign w:val="bottom"/>
          </w:tcPr>
          <w:p>
            <w:pPr>
              <w:ind w:left="1180"/>
              <w:spacing w:after="0"/>
              <w:rPr>
                <w:sz w:val="20"/>
                <w:szCs w:val="20"/>
                <w:color w:val="auto"/>
              </w:rPr>
            </w:pPr>
            <w:r>
              <w:rPr>
                <w:rFonts w:ascii="Arial" w:cs="Arial" w:eastAsia="Arial" w:hAnsi="Arial"/>
                <w:sz w:val="16"/>
                <w:szCs w:val="16"/>
                <w:color w:val="auto"/>
                <w:w w:val="74"/>
              </w:rPr>
              <w:t>x</w:t>
            </w:r>
          </w:p>
        </w:tc>
      </w:tr>
    </w:tbl>
    <w:p>
      <w:pPr>
        <w:spacing w:after="0" w:line="212"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Act).Yes o No x</w:t>
      </w:r>
    </w:p>
    <w:p>
      <w:pPr>
        <w:spacing w:after="0" w:line="113" w:lineRule="exact"/>
        <w:rPr>
          <w:sz w:val="24"/>
          <w:szCs w:val="24"/>
          <w:color w:val="auto"/>
        </w:rPr>
      </w:pPr>
    </w:p>
    <w:p>
      <w:pPr>
        <w:ind w:right="420"/>
        <w:spacing w:after="0" w:line="275" w:lineRule="auto"/>
        <w:rPr>
          <w:sz w:val="20"/>
          <w:szCs w:val="20"/>
          <w:color w:val="auto"/>
        </w:rPr>
      </w:pPr>
      <w:r>
        <w:rPr>
          <w:rFonts w:ascii="Arial" w:cs="Arial" w:eastAsia="Arial" w:hAnsi="Arial"/>
          <w:sz w:val="16"/>
          <w:szCs w:val="16"/>
          <w:color w:val="auto"/>
        </w:rPr>
        <w:t>As of August 7, 2023, there were 136,875,876 shares of the registrant’s Class A common stock outstanding, 6,675,517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Table of Contents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102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gridSpan w:val="9"/>
          </w:tcPr>
          <w:p>
            <w:pPr>
              <w:jc w:val="center"/>
              <w:ind w:right="1100"/>
              <w:spacing w:after="0"/>
              <w:rPr>
                <w:sz w:val="20"/>
                <w:szCs w:val="20"/>
                <w:color w:val="auto"/>
              </w:rPr>
            </w:pPr>
            <w:r>
              <w:rPr>
                <w:rFonts w:ascii="Arial" w:cs="Arial" w:eastAsia="Arial" w:hAnsi="Arial"/>
                <w:sz w:val="18"/>
                <w:szCs w:val="18"/>
                <w:b w:val="1"/>
                <w:bCs w:val="1"/>
                <w:color w:val="auto"/>
              </w:rPr>
              <w:t>BUZZFEED, INC.</w:t>
            </w:r>
          </w:p>
        </w:tc>
        <w:tc>
          <w:tcPr>
            <w:tcW w:w="30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9"/>
          </w:tcPr>
          <w:p>
            <w:pPr>
              <w:jc w:val="center"/>
              <w:ind w:right="1100"/>
              <w:spacing w:after="0"/>
              <w:rPr>
                <w:sz w:val="20"/>
                <w:szCs w:val="20"/>
                <w:color w:val="auto"/>
              </w:rPr>
            </w:pPr>
            <w:r>
              <w:rPr>
                <w:rFonts w:ascii="Arial" w:cs="Arial" w:eastAsia="Arial" w:hAnsi="Arial"/>
                <w:sz w:val="18"/>
                <w:szCs w:val="18"/>
                <w:b w:val="1"/>
                <w:bCs w:val="1"/>
                <w:color w:val="auto"/>
                <w:w w:val="98"/>
              </w:rPr>
              <w:t>TABLE OF CONTENTS</w:t>
            </w:r>
          </w:p>
        </w:tc>
        <w:tc>
          <w:tcPr>
            <w:tcW w:w="304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40" w:type="dxa"/>
            <w:vAlign w:val="bottom"/>
          </w:tcPr>
          <w:p>
            <w:pPr>
              <w:ind w:left="2520"/>
              <w:spacing w:after="0"/>
              <w:rPr>
                <w:sz w:val="20"/>
                <w:szCs w:val="20"/>
                <w:color w:val="auto"/>
              </w:rPr>
            </w:pPr>
            <w:r>
              <w:rPr>
                <w:rFonts w:ascii="Arial" w:cs="Arial" w:eastAsia="Arial" w:hAnsi="Arial"/>
                <w:sz w:val="18"/>
                <w:szCs w:val="18"/>
                <w:color w:val="auto"/>
              </w:rPr>
              <w:t>Page</w:t>
            </w:r>
          </w:p>
        </w:tc>
      </w:tr>
      <w:tr>
        <w:trPr>
          <w:trHeight w:val="229"/>
        </w:trPr>
        <w:tc>
          <w:tcPr>
            <w:tcW w:w="20" w:type="dxa"/>
            <w:vAlign w:val="bottom"/>
          </w:tcPr>
          <w:p>
            <w:pPr>
              <w:spacing w:after="0"/>
              <w:rPr>
                <w:sz w:val="19"/>
                <w:szCs w:val="19"/>
                <w:color w:val="auto"/>
              </w:rPr>
            </w:pPr>
          </w:p>
        </w:tc>
        <w:tc>
          <w:tcPr>
            <w:tcW w:w="1260" w:type="dxa"/>
            <w:vAlign w:val="bottom"/>
            <w:gridSpan w:val="6"/>
          </w:tcPr>
          <w:p>
            <w:pPr>
              <w:spacing w:after="0"/>
              <w:rPr>
                <w:sz w:val="20"/>
                <w:szCs w:val="20"/>
                <w:color w:val="auto"/>
              </w:rPr>
            </w:pPr>
            <w:r>
              <w:rPr>
                <w:rFonts w:ascii="Arial" w:cs="Arial" w:eastAsia="Arial" w:hAnsi="Arial"/>
                <w:sz w:val="18"/>
                <w:szCs w:val="18"/>
                <w:b w:val="1"/>
                <w:bCs w:val="1"/>
                <w:color w:val="0000FF"/>
              </w:rPr>
              <w:t>PART I</w:t>
            </w:r>
          </w:p>
        </w:tc>
        <w:tc>
          <w:tcPr>
            <w:tcW w:w="460" w:type="dxa"/>
            <w:vAlign w:val="bottom"/>
          </w:tcPr>
          <w:p>
            <w:pPr>
              <w:spacing w:after="0"/>
              <w:rPr>
                <w:sz w:val="19"/>
                <w:szCs w:val="19"/>
                <w:color w:val="auto"/>
              </w:rPr>
            </w:pPr>
          </w:p>
        </w:tc>
        <w:tc>
          <w:tcPr>
            <w:tcW w:w="6460" w:type="dxa"/>
            <w:vAlign w:val="bottom"/>
            <w:gridSpan w:val="17"/>
          </w:tcPr>
          <w:p>
            <w:pPr>
              <w:spacing w:after="0"/>
              <w:rPr>
                <w:sz w:val="20"/>
                <w:szCs w:val="20"/>
                <w:color w:val="auto"/>
              </w:rPr>
            </w:pPr>
            <w:r>
              <w:rPr>
                <w:rFonts w:ascii="Arial" w:cs="Arial" w:eastAsia="Arial" w:hAnsi="Arial"/>
                <w:sz w:val="18"/>
                <w:szCs w:val="18"/>
                <w:b w:val="1"/>
                <w:bCs w:val="1"/>
                <w:color w:val="0000FF"/>
              </w:rPr>
              <w:t>FINANCIAL INFORMATION</w:t>
            </w: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99"/>
              </w:rPr>
              <w:t>5</w:t>
            </w:r>
          </w:p>
        </w:tc>
      </w:tr>
      <w:tr>
        <w:trPr>
          <w:trHeight w:val="250"/>
        </w:trPr>
        <w:tc>
          <w:tcPr>
            <w:tcW w:w="20" w:type="dxa"/>
            <w:vAlign w:val="bottom"/>
          </w:tcPr>
          <w:p>
            <w:pPr>
              <w:spacing w:after="0"/>
              <w:rPr>
                <w:sz w:val="21"/>
                <w:szCs w:val="21"/>
                <w:color w:val="auto"/>
              </w:rPr>
            </w:pPr>
          </w:p>
        </w:tc>
        <w:tc>
          <w:tcPr>
            <w:tcW w:w="4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1"/>
              </w:rPr>
              <w:t>Item 1</w:t>
            </w:r>
          </w:p>
        </w:tc>
        <w:tc>
          <w:tcPr>
            <w:tcW w:w="100" w:type="dxa"/>
            <w:vAlign w:val="bottom"/>
            <w:tcBorders>
              <w:top w:val="single" w:sz="8" w:color="0000FF"/>
            </w:tcBorders>
          </w:tcPr>
          <w:p>
            <w:pPr>
              <w:spacing w:after="0"/>
              <w:rPr>
                <w:sz w:val="21"/>
                <w:szCs w:val="21"/>
                <w:color w:val="auto"/>
              </w:rPr>
            </w:pPr>
          </w:p>
        </w:tc>
        <w:tc>
          <w:tcPr>
            <w:tcW w:w="68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0"/>
              </w:rPr>
              <w:t>Financial Statements (unaudited)</w:t>
            </w:r>
          </w:p>
        </w:tc>
        <w:tc>
          <w:tcPr>
            <w:tcW w:w="4060" w:type="dxa"/>
            <w:vAlign w:val="bottom"/>
            <w:gridSpan w:val="9"/>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99"/>
              </w:rPr>
              <w:t>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w:t>
            </w: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99"/>
              </w:rPr>
              <w:t>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w:t>
            </w: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99"/>
              </w:rPr>
              <w:t>6</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Statements of Comprehensive Loss</w:t>
            </w:r>
          </w:p>
        </w:tc>
        <w:tc>
          <w:tcPr>
            <w:tcW w:w="1820" w:type="dxa"/>
            <w:vAlign w:val="bottom"/>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99"/>
              </w:rPr>
              <w:t>7</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99"/>
              </w:rPr>
              <w:t>8</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Condensed Consolidated Statements of Cash Flows</w:t>
            </w:r>
          </w:p>
        </w:tc>
        <w:tc>
          <w:tcPr>
            <w:tcW w:w="1840" w:type="dxa"/>
            <w:vAlign w:val="bottom"/>
            <w:gridSpan w:val="2"/>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10</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6"/>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11</w:t>
            </w: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Item 2</w:t>
            </w:r>
          </w:p>
        </w:tc>
        <w:tc>
          <w:tcPr>
            <w:tcW w:w="78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31</w:t>
            </w:r>
          </w:p>
        </w:tc>
      </w:tr>
      <w:tr>
        <w:trPr>
          <w:trHeight w:val="250"/>
        </w:trPr>
        <w:tc>
          <w:tcPr>
            <w:tcW w:w="20" w:type="dxa"/>
            <w:vAlign w:val="bottom"/>
          </w:tcPr>
          <w:p>
            <w:pPr>
              <w:spacing w:after="0"/>
              <w:rPr>
                <w:sz w:val="21"/>
                <w:szCs w:val="21"/>
                <w:color w:val="auto"/>
              </w:rPr>
            </w:pPr>
          </w:p>
        </w:tc>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Item 3</w:t>
            </w:r>
          </w:p>
        </w:tc>
        <w:tc>
          <w:tcPr>
            <w:tcW w:w="78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43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gridSpan w:val="3"/>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47</w:t>
            </w:r>
          </w:p>
        </w:tc>
      </w:tr>
      <w:tr>
        <w:trPr>
          <w:trHeight w:val="250"/>
        </w:trPr>
        <w:tc>
          <w:tcPr>
            <w:tcW w:w="20" w:type="dxa"/>
            <w:vAlign w:val="bottom"/>
          </w:tcPr>
          <w:p>
            <w:pPr>
              <w:spacing w:after="0"/>
              <w:rPr>
                <w:sz w:val="21"/>
                <w:szCs w:val="21"/>
                <w:color w:val="auto"/>
              </w:rPr>
            </w:pPr>
          </w:p>
        </w:tc>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Item 4</w:t>
            </w:r>
          </w:p>
        </w:tc>
        <w:tc>
          <w:tcPr>
            <w:tcW w:w="78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Controls and Procedures</w:t>
            </w:r>
          </w:p>
        </w:tc>
        <w:tc>
          <w:tcPr>
            <w:tcW w:w="4680" w:type="dxa"/>
            <w:vAlign w:val="bottom"/>
            <w:gridSpan w:val="12"/>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48</w:t>
            </w: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Arial" w:cs="Arial" w:eastAsia="Arial" w:hAnsi="Arial"/>
                <w:sz w:val="18"/>
                <w:szCs w:val="18"/>
                <w:b w:val="1"/>
                <w:bCs w:val="1"/>
                <w:color w:val="0000FF"/>
                <w:w w:val="99"/>
              </w:rPr>
              <w:t>PART II</w:t>
            </w:r>
          </w:p>
        </w:tc>
        <w:tc>
          <w:tcPr>
            <w:tcW w:w="6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6460" w:type="dxa"/>
            <w:vAlign w:val="bottom"/>
            <w:gridSpan w:val="17"/>
          </w:tcPr>
          <w:p>
            <w:pPr>
              <w:spacing w:after="0"/>
              <w:rPr>
                <w:sz w:val="20"/>
                <w:szCs w:val="20"/>
                <w:color w:val="auto"/>
              </w:rPr>
            </w:pPr>
            <w:r>
              <w:rPr>
                <w:rFonts w:ascii="Arial" w:cs="Arial" w:eastAsia="Arial" w:hAnsi="Arial"/>
                <w:sz w:val="18"/>
                <w:szCs w:val="18"/>
                <w:b w:val="1"/>
                <w:bCs w:val="1"/>
                <w:color w:val="0000FF"/>
              </w:rPr>
              <w:t>OTHER INFORMATION</w:t>
            </w: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49</w:t>
            </w:r>
          </w:p>
        </w:tc>
      </w:tr>
      <w:tr>
        <w:trPr>
          <w:trHeight w:val="250"/>
        </w:trPr>
        <w:tc>
          <w:tcPr>
            <w:tcW w:w="20" w:type="dxa"/>
            <w:vAlign w:val="bottom"/>
          </w:tcPr>
          <w:p>
            <w:pPr>
              <w:spacing w:after="0"/>
              <w:rPr>
                <w:sz w:val="21"/>
                <w:szCs w:val="21"/>
                <w:color w:val="auto"/>
              </w:rPr>
            </w:pPr>
          </w:p>
        </w:tc>
        <w:tc>
          <w:tcPr>
            <w:tcW w:w="4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1"/>
              </w:rPr>
              <w:t>Item 1</w:t>
            </w:r>
          </w:p>
        </w:tc>
        <w:tc>
          <w:tcPr>
            <w:tcW w:w="180" w:type="dxa"/>
            <w:vAlign w:val="bottom"/>
            <w:tcBorders>
              <w:top w:val="single" w:sz="8" w:color="0000FF"/>
            </w:tcBorders>
            <w:gridSpan w:val="3"/>
          </w:tcPr>
          <w:p>
            <w:pPr>
              <w:spacing w:after="0"/>
              <w:rPr>
                <w:sz w:val="21"/>
                <w:szCs w:val="21"/>
                <w:color w:val="auto"/>
              </w:rPr>
            </w:pPr>
          </w:p>
        </w:tc>
        <w:tc>
          <w:tcPr>
            <w:tcW w:w="6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20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Legal Proceedings</w:t>
            </w:r>
          </w:p>
        </w:tc>
        <w:tc>
          <w:tcPr>
            <w:tcW w:w="4440" w:type="dxa"/>
            <w:vAlign w:val="bottom"/>
            <w:gridSpan w:val="11"/>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49</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1A</w:t>
            </w:r>
          </w:p>
        </w:tc>
        <w:tc>
          <w:tcPr>
            <w:tcW w:w="460" w:type="dxa"/>
            <w:vAlign w:val="bottom"/>
          </w:tcPr>
          <w:p>
            <w:pPr>
              <w:spacing w:after="0"/>
              <w:rPr>
                <w:sz w:val="21"/>
                <w:szCs w:val="21"/>
                <w:color w:val="auto"/>
              </w:rPr>
            </w:pPr>
          </w:p>
        </w:tc>
        <w:tc>
          <w:tcPr>
            <w:tcW w:w="64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50</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Item 2</w:t>
            </w:r>
          </w:p>
        </w:tc>
        <w:tc>
          <w:tcPr>
            <w:tcW w:w="120" w:type="dxa"/>
            <w:vAlign w:val="bottom"/>
            <w:gridSpan w:val="2"/>
          </w:tcPr>
          <w:p>
            <w:pPr>
              <w:spacing w:after="0"/>
              <w:rPr>
                <w:sz w:val="21"/>
                <w:szCs w:val="21"/>
                <w:color w:val="auto"/>
              </w:rPr>
            </w:pPr>
          </w:p>
        </w:tc>
        <w:tc>
          <w:tcPr>
            <w:tcW w:w="66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2100" w:type="dxa"/>
            <w:vAlign w:val="bottom"/>
            <w:gridSpan w:val="4"/>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50</w:t>
            </w:r>
          </w:p>
        </w:tc>
      </w:tr>
      <w:tr>
        <w:trPr>
          <w:trHeight w:val="250"/>
        </w:trPr>
        <w:tc>
          <w:tcPr>
            <w:tcW w:w="20" w:type="dxa"/>
            <w:vAlign w:val="bottom"/>
          </w:tcPr>
          <w:p>
            <w:pPr>
              <w:spacing w:after="0"/>
              <w:rPr>
                <w:sz w:val="21"/>
                <w:szCs w:val="21"/>
                <w:color w:val="auto"/>
              </w:rPr>
            </w:pPr>
          </w:p>
        </w:tc>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Item 3</w:t>
            </w:r>
          </w:p>
        </w:tc>
        <w:tc>
          <w:tcPr>
            <w:tcW w:w="78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23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Defaults Upon Senior Securities</w:t>
            </w:r>
          </w:p>
        </w:tc>
        <w:tc>
          <w:tcPr>
            <w:tcW w:w="4080" w:type="dxa"/>
            <w:vAlign w:val="bottom"/>
            <w:gridSpan w:val="10"/>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50</w:t>
            </w:r>
          </w:p>
        </w:tc>
      </w:tr>
      <w:tr>
        <w:trPr>
          <w:trHeight w:val="250"/>
        </w:trPr>
        <w:tc>
          <w:tcPr>
            <w:tcW w:w="20" w:type="dxa"/>
            <w:vAlign w:val="bottom"/>
          </w:tcPr>
          <w:p>
            <w:pPr>
              <w:spacing w:after="0"/>
              <w:rPr>
                <w:sz w:val="21"/>
                <w:szCs w:val="21"/>
                <w:color w:val="auto"/>
              </w:rPr>
            </w:pPr>
          </w:p>
        </w:tc>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Item 4</w:t>
            </w:r>
          </w:p>
        </w:tc>
        <w:tc>
          <w:tcPr>
            <w:tcW w:w="78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Mine Safety Disclosures</w:t>
            </w:r>
          </w:p>
        </w:tc>
        <w:tc>
          <w:tcPr>
            <w:tcW w:w="4680" w:type="dxa"/>
            <w:vAlign w:val="bottom"/>
            <w:gridSpan w:val="12"/>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50</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91"/>
              </w:rPr>
              <w:t>Item 5</w:t>
            </w:r>
          </w:p>
        </w:tc>
        <w:tc>
          <w:tcPr>
            <w:tcW w:w="78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64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50</w:t>
            </w:r>
          </w:p>
        </w:tc>
      </w:tr>
      <w:tr>
        <w:trPr>
          <w:trHeight w:val="250"/>
        </w:trPr>
        <w:tc>
          <w:tcPr>
            <w:tcW w:w="20" w:type="dxa"/>
            <w:vAlign w:val="bottom"/>
          </w:tcPr>
          <w:p>
            <w:pPr>
              <w:spacing w:after="0"/>
              <w:rPr>
                <w:sz w:val="21"/>
                <w:szCs w:val="21"/>
                <w:color w:val="auto"/>
              </w:rPr>
            </w:pPr>
          </w:p>
        </w:tc>
        <w:tc>
          <w:tcPr>
            <w:tcW w:w="4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1"/>
              </w:rPr>
              <w:t>Item 6</w:t>
            </w:r>
          </w:p>
        </w:tc>
        <w:tc>
          <w:tcPr>
            <w:tcW w:w="78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5120" w:type="dxa"/>
            <w:vAlign w:val="bottom"/>
            <w:gridSpan w:val="13"/>
          </w:tcPr>
          <w:p>
            <w:pPr>
              <w:spacing w:after="0"/>
              <w:rPr>
                <w:sz w:val="21"/>
                <w:szCs w:val="21"/>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50</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8"/>
                <w:szCs w:val="18"/>
                <w:b w:val="1"/>
                <w:bCs w:val="1"/>
                <w:color w:val="0000FF"/>
              </w:rPr>
              <w:t>SIGNATURES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40" w:type="dxa"/>
            <w:vAlign w:val="bottom"/>
          </w:tcPr>
          <w:p>
            <w:pPr>
              <w:jc w:val="center"/>
              <w:ind w:left="2250"/>
              <w:spacing w:after="0"/>
              <w:rPr>
                <w:sz w:val="20"/>
                <w:szCs w:val="20"/>
                <w:color w:val="auto"/>
              </w:rPr>
            </w:pPr>
            <w:r>
              <w:rPr>
                <w:rFonts w:ascii="Arial" w:cs="Arial" w:eastAsia="Arial" w:hAnsi="Arial"/>
                <w:sz w:val="18"/>
                <w:szCs w:val="18"/>
                <w:color w:val="auto"/>
                <w:w w:val="89"/>
              </w:rPr>
              <w:t>52</w:t>
            </w:r>
          </w:p>
        </w:tc>
      </w:tr>
      <w:tr>
        <w:trPr>
          <w:trHeight w:val="939"/>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12"/>
          </w:tcPr>
          <w:p>
            <w:pPr>
              <w:jc w:val="center"/>
              <w:ind w:left="4170"/>
              <w:spacing w:after="0"/>
              <w:rPr>
                <w:sz w:val="20"/>
                <w:szCs w:val="20"/>
                <w:color w:val="auto"/>
              </w:rPr>
            </w:pPr>
            <w:r>
              <w:rPr>
                <w:rFonts w:ascii="Arial" w:cs="Arial" w:eastAsia="Arial" w:hAnsi="Arial"/>
                <w:sz w:val="18"/>
                <w:szCs w:val="18"/>
                <w:color w:val="auto"/>
                <w:w w:val="79"/>
              </w:rPr>
              <w:t>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 looking statements include all matters that are not historical facts. Forward-looking statements in this Quarterly Report on Form 10-Q may include, for example, statements about:</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products and services and changes in traffic;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business and competitive environment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the digital media industry;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national and local economic and other conditions and developments in technology, each of which could influence the levels (rate and volume) of our advertising, the growth of our business, and the implementation of our strategic initiatives;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poor quality broadband infrastructure in certain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developments including artificial intelligence;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officers, key employees or directors;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operations, and financial performance, including expectations with respect to our financial and business performance and the benefits of our restructuring, including financial projections and business metrics, and any underlying assumptions thereunder, future business plans and initiatives, and growth opportunities;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 including, but not limited to, our ability to obtain additional capital in the future, any impacts of bank failures or issues in the broader United States (“U.S.”) financial system, any restrictions imposed by our debt facilities, and any restrictions on our ability to access our cash and cash equivalents;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future acquisitions, partnerships, or other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law and government regulation, including, but not limited to, revised foreign content and ownership regulations;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impacts of current global supply chain disruptions, further escalation of tensions between Russia and Western countries and the related sanctions and geopolitical tensions, as well as further escalation of trade tensions between the U.S. and China; the inflationary environment; the tight labor market; the continued impact of the COVID-19 pandemic and evolving strains of COVID-19; and other macroeconomic factors on our business and the actions we may take in the future in response thereto;</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and warrants on The Nasdaq Stock Market LLC;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 in our Annual Report on Form 10-K for the year ended December 31, 2022, and in our Quarterly Report on Form 10-Q for the quarter ended March 31,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“Risk Factors” herein, in our Annual Report on Form 10-K for the year ended December 31, 2022, and in our Quarterly Report on Form 10-Q for the quarter ended March 31, 2023.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herein, in our Annual Report on Form 10-K for the year ended December 31, 2022, and in our Quarterly Report on Form 10-Q for the quarter ended March 31, 2023. These and other factors could cause results to differ materially from those expressed in these publications and reports.</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BUZZFEED,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Dollars and shares in thousands, except per share amounts</w:t>
      </w:r>
      <w:r>
        <w:rPr>
          <w:rFonts w:ascii="Arial" w:cs="Arial" w:eastAsia="Arial" w:hAnsi="Arial"/>
          <w:sz w:val="14"/>
          <w:szCs w:val="14"/>
          <w:color w:val="auto"/>
        </w:rPr>
        <w: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39"/>
        </w:trPr>
        <w:tc>
          <w:tcPr>
            <w:tcW w:w="8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41,295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55,774</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auto"/>
              </w:rPr>
              <w:t>Accounts receivable (net of allowance for doubtful accounts of $1,747 as at June 30, 2023 and $1,879 as at December 31, 2022)</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70,855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116,460</w:t>
            </w:r>
          </w:p>
        </w:tc>
      </w:tr>
      <w:tr>
        <w:trPr>
          <w:trHeight w:val="26"/>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5"/>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26,373</w:t>
            </w:r>
          </w:p>
        </w:tc>
      </w:tr>
      <w:tr>
        <w:trPr>
          <w:trHeight w:val="184"/>
        </w:trPr>
        <w:tc>
          <w:tcPr>
            <w:tcW w:w="81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Total current assets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134,394</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198,607</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Property and equipment, net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14,892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17,774</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auto"/>
              </w:rPr>
              <w:t>Right-of-use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56,537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66,581</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Capitalized software costs, net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21,509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19,259</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113,737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121,329</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91,632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91,632</w:t>
            </w:r>
          </w:p>
        </w:tc>
      </w:tr>
      <w:tr>
        <w:trPr>
          <w:trHeight w:val="204"/>
        </w:trPr>
        <w:tc>
          <w:tcPr>
            <w:tcW w:w="8160" w:type="dxa"/>
            <w:vAlign w:val="bottom"/>
          </w:tcPr>
          <w:p>
            <w:pPr>
              <w:ind w:left="10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13,720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14,790</w:t>
            </w:r>
          </w:p>
        </w:tc>
      </w:tr>
      <w:tr>
        <w:trPr>
          <w:trHeight w:val="26"/>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446,421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529,972</w:t>
            </w:r>
          </w:p>
        </w:tc>
      </w:tr>
      <w:tr>
        <w:trPr>
          <w:trHeight w:val="23"/>
        </w:trPr>
        <w:tc>
          <w:tcPr>
            <w:tcW w:w="8160" w:type="dxa"/>
            <w:vAlign w:val="bottom"/>
            <w:tcBorders>
              <w:top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1"/>
        </w:trPr>
        <w:tc>
          <w:tcPr>
            <w:tcW w:w="81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Accounts payable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37,294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29,329</w:t>
            </w:r>
          </w:p>
        </w:tc>
      </w:tr>
      <w:tr>
        <w:trPr>
          <w:trHeight w:val="191"/>
        </w:trPr>
        <w:tc>
          <w:tcPr>
            <w:tcW w:w="816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26,357</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8,836</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31,052</w:t>
            </w:r>
          </w:p>
        </w:tc>
      </w:tr>
      <w:tr>
        <w:trPr>
          <w:trHeight w:val="25"/>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Current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23,398</w:t>
            </w:r>
          </w:p>
        </w:tc>
      </w:tr>
      <w:tr>
        <w:trPr>
          <w:trHeight w:val="204"/>
        </w:trPr>
        <w:tc>
          <w:tcPr>
            <w:tcW w:w="8160" w:type="dxa"/>
            <w:vAlign w:val="bottom"/>
          </w:tcPr>
          <w:p>
            <w:pPr>
              <w:ind w:left="100"/>
              <w:spacing w:after="0"/>
              <w:rPr>
                <w:sz w:val="20"/>
                <w:szCs w:val="20"/>
                <w:color w:val="auto"/>
              </w:rPr>
            </w:pPr>
            <w:r>
              <w:rPr>
                <w:rFonts w:ascii="Arial" w:cs="Arial" w:eastAsia="Arial" w:hAnsi="Arial"/>
                <w:sz w:val="14"/>
                <w:szCs w:val="14"/>
                <w:color w:val="auto"/>
              </w:rPr>
              <w:t>Other current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3,900</w:t>
            </w:r>
          </w:p>
        </w:tc>
      </w:tr>
      <w:tr>
        <w:trPr>
          <w:trHeight w:val="25"/>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106,686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122,872</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auto"/>
              </w:rPr>
              <w:t>Noncurrent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49,036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59,315</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Debt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155,979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152,253</w:t>
            </w:r>
          </w:p>
        </w:tc>
      </w:tr>
      <w:tr>
        <w:trPr>
          <w:trHeight w:val="191"/>
        </w:trPr>
        <w:tc>
          <w:tcPr>
            <w:tcW w:w="8160" w:type="dxa"/>
            <w:vAlign w:val="bottom"/>
          </w:tcPr>
          <w:p>
            <w:pPr>
              <w:ind w:left="100"/>
              <w:spacing w:after="0"/>
              <w:rPr>
                <w:sz w:val="20"/>
                <w:szCs w:val="20"/>
                <w:color w:val="auto"/>
              </w:rPr>
            </w:pPr>
            <w:r>
              <w:rPr>
                <w:rFonts w:ascii="Arial" w:cs="Arial" w:eastAsia="Arial" w:hAnsi="Arial"/>
                <w:sz w:val="14"/>
                <w:szCs w:val="14"/>
                <w:color w:val="auto"/>
              </w:rPr>
              <w:t>Derivative liability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Warrant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w:t>
            </w:r>
          </w:p>
        </w:tc>
      </w:tr>
      <w:tr>
        <w:trPr>
          <w:trHeight w:val="204"/>
        </w:trPr>
        <w:tc>
          <w:tcPr>
            <w:tcW w:w="8160" w:type="dxa"/>
            <w:vAlign w:val="bottom"/>
          </w:tcPr>
          <w:p>
            <w:pPr>
              <w:ind w:left="10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25"/>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312,794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335,418</w:t>
            </w:r>
          </w:p>
        </w:tc>
      </w:tr>
      <w:tr>
        <w:trPr>
          <w:trHeight w:val="54"/>
        </w:trPr>
        <w:tc>
          <w:tcPr>
            <w:tcW w:w="8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54"/>
        </w:trPr>
        <w:tc>
          <w:tcPr>
            <w:tcW w:w="8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84"/>
        </w:trPr>
        <w:tc>
          <w:tcPr>
            <w:tcW w:w="8160" w:type="dxa"/>
            <w:vAlign w:val="bottom"/>
          </w:tcPr>
          <w:p>
            <w:pPr>
              <w:ind w:left="100"/>
              <w:spacing w:after="0"/>
              <w:rPr>
                <w:sz w:val="20"/>
                <w:szCs w:val="20"/>
                <w:color w:val="auto"/>
              </w:rPr>
            </w:pPr>
            <w:r>
              <w:rPr>
                <w:rFonts w:ascii="Arial" w:cs="Arial" w:eastAsia="Arial" w:hAnsi="Arial"/>
                <w:sz w:val="14"/>
                <w:szCs w:val="14"/>
                <w:color w:val="auto"/>
                <w:w w:val="91"/>
              </w:rPr>
              <w:t>Class A Common stock, $0.0001 par value; 700,000 shares authorized; 136,615 and 126,387 shares issued and outstanding at June 30, 2023</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and December 31, 2022, respectively</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4"/>
        </w:trPr>
        <w:tc>
          <w:tcPr>
            <w:tcW w:w="81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2"/>
              </w:rPr>
              <w:t>Class B Common stock, $0.0001 par value; 20,000 shares authorized; 6,676 and 6,678 shares issued and outstanding at June 30, 2023 and</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8"/>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December 31, 2022, 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4"/>
        </w:trPr>
        <w:tc>
          <w:tcPr>
            <w:tcW w:w="8160" w:type="dxa"/>
            <w:vAlign w:val="bottom"/>
          </w:tcPr>
          <w:p>
            <w:pPr>
              <w:ind w:left="100"/>
              <w:spacing w:after="0"/>
              <w:rPr>
                <w:sz w:val="20"/>
                <w:szCs w:val="20"/>
                <w:color w:val="auto"/>
              </w:rPr>
            </w:pPr>
            <w:r>
              <w:rPr>
                <w:rFonts w:ascii="Arial" w:cs="Arial" w:eastAsia="Arial" w:hAnsi="Arial"/>
                <w:sz w:val="14"/>
                <w:szCs w:val="14"/>
                <w:color w:val="auto"/>
                <w:w w:val="95"/>
              </w:rPr>
              <w:t>Class C Common stock, $0.0001 par value; 10,000 shares authorized; 0 and 6,478 shares issued and outstanding at June 30, 2023 and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December 31, 2022, respectively</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720,231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716,233</w:t>
            </w:r>
          </w:p>
        </w:tc>
      </w:tr>
      <w:tr>
        <w:trPr>
          <w:trHeight w:val="191"/>
        </w:trPr>
        <w:tc>
          <w:tcPr>
            <w:tcW w:w="8160" w:type="dxa"/>
            <w:vAlign w:val="bottom"/>
          </w:tcPr>
          <w:p>
            <w:pPr>
              <w:ind w:left="100"/>
              <w:spacing w:after="0"/>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(587,026)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(523,063)</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1"/>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(1,968)</w:t>
            </w:r>
          </w:p>
        </w:tc>
      </w:tr>
      <w:tr>
        <w:trPr>
          <w:trHeight w:val="198"/>
        </w:trPr>
        <w:tc>
          <w:tcPr>
            <w:tcW w:w="81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Total BuzzFeed, Inc. stockholders’ equity</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130,850</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191,217</w:t>
            </w:r>
          </w:p>
        </w:tc>
      </w:tr>
      <w:tr>
        <w:trPr>
          <w:trHeight w:val="25"/>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r>
      <w:tr>
        <w:trPr>
          <w:trHeight w:val="184"/>
        </w:trPr>
        <w:tc>
          <w:tcPr>
            <w:tcW w:w="816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133,627</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194,554</w:t>
            </w:r>
          </w:p>
        </w:tc>
      </w:tr>
      <w:tr>
        <w:trPr>
          <w:trHeight w:val="39"/>
        </w:trPr>
        <w:tc>
          <w:tcPr>
            <w:tcW w:w="8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7"/>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446,421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529,972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(Unaudited, dollars and shares </w:t>
      </w:r>
      <w:r>
        <w:rPr>
          <w:rFonts w:ascii="Arial" w:cs="Arial" w:eastAsia="Arial" w:hAnsi="Arial"/>
          <w:sz w:val="18"/>
          <w:szCs w:val="18"/>
          <w:color w:val="auto"/>
        </w:rPr>
        <w:t>i</w:t>
      </w:r>
      <w:r>
        <w:rPr>
          <w:rFonts w:ascii="Arial" w:cs="Arial" w:eastAsia="Arial" w:hAnsi="Arial"/>
          <w:sz w:val="18"/>
          <w:szCs w:val="18"/>
          <w:i w:val="1"/>
          <w:iCs w:val="1"/>
          <w:color w:val="auto"/>
        </w:rPr>
        <w:t>n thousands, except per share amounts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6"/>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77,901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145,054</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198,318</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Cost of revenue, excluding 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122,347</w:t>
            </w: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36,491</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65,127</w:t>
            </w: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17,445</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97,988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258,504</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(60,186)</w:t>
            </w: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(2,578)</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3,359</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(27,873)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(66,001)</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(27,836)</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(68,147)</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Net income attributable to the redeemable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BuzzFeed, Inc.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Class A, Class B and Class C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Basic and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141,950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136,906</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6"/>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(64,097)</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(68,147)</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(67,745)</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redeemable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Comprehensive income (loss)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attributable to</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BuzzFeed, Inc.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gridSpan w:val="13"/>
          </w:tcPr>
          <w:p>
            <w:pPr>
              <w:jc w:val="right"/>
              <w:ind w:right="497"/>
              <w:spacing w:after="0"/>
              <w:rPr>
                <w:sz w:val="20"/>
                <w:szCs w:val="20"/>
                <w:color w:val="auto"/>
              </w:rPr>
            </w:pPr>
            <w:r>
              <w:rPr>
                <w:rFonts w:ascii="Arial" w:cs="Arial" w:eastAsia="Arial" w:hAnsi="Arial"/>
                <w:sz w:val="13"/>
                <w:szCs w:val="13"/>
                <w:b w:val="1"/>
                <w:bCs w:val="1"/>
                <w:color w:val="auto"/>
              </w:rPr>
              <w:t>For the Three and Six Months Ended June 30, 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60" w:type="dxa"/>
            <w:vAlign w:val="bottom"/>
          </w:tcPr>
          <w:p>
            <w:pPr>
              <w:spacing w:after="0"/>
              <w:rPr>
                <w:sz w:val="13"/>
                <w:szCs w:val="13"/>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vMerge w:val="restart"/>
          </w:tcPr>
          <w:p>
            <w:pPr>
              <w:jc w:val="right"/>
              <w:ind w:right="137"/>
              <w:spacing w:after="0"/>
              <w:rPr>
                <w:sz w:val="20"/>
                <w:szCs w:val="20"/>
                <w:color w:val="auto"/>
              </w:rPr>
            </w:pPr>
            <w:r>
              <w:rPr>
                <w:rFonts w:ascii="Arial" w:cs="Arial" w:eastAsia="Arial" w:hAnsi="Arial"/>
                <w:sz w:val="13"/>
                <w:szCs w:val="13"/>
                <w:b w:val="1"/>
                <w:bCs w:val="1"/>
                <w:color w:val="auto"/>
              </w:rPr>
              <w:t>Common Stock –</w:t>
            </w:r>
          </w:p>
        </w:tc>
        <w:tc>
          <w:tcPr>
            <w:tcW w:w="100" w:type="dxa"/>
            <w:vAlign w:val="bottom"/>
          </w:tcPr>
          <w:p>
            <w:pPr>
              <w:spacing w:after="0"/>
              <w:rPr>
                <w:sz w:val="13"/>
                <w:szCs w:val="13"/>
                <w:color w:val="auto"/>
              </w:rPr>
            </w:pPr>
          </w:p>
        </w:tc>
        <w:tc>
          <w:tcPr>
            <w:tcW w:w="1320" w:type="dxa"/>
            <w:vAlign w:val="bottom"/>
            <w:gridSpan w:val="4"/>
            <w:vMerge w:val="restart"/>
          </w:tcPr>
          <w:p>
            <w:pPr>
              <w:jc w:val="right"/>
              <w:ind w:right="137"/>
              <w:spacing w:after="0"/>
              <w:rPr>
                <w:sz w:val="20"/>
                <w:szCs w:val="20"/>
                <w:color w:val="auto"/>
              </w:rPr>
            </w:pPr>
            <w:r>
              <w:rPr>
                <w:rFonts w:ascii="Arial" w:cs="Arial" w:eastAsia="Arial" w:hAnsi="Arial"/>
                <w:sz w:val="13"/>
                <w:szCs w:val="13"/>
                <w:b w:val="1"/>
                <w:bCs w:val="1"/>
                <w:color w:val="auto"/>
              </w:rPr>
              <w:t>Common Stock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vMerge w:val="restart"/>
          </w:tcPr>
          <w:p>
            <w:pPr>
              <w:jc w:val="center"/>
              <w:ind w:right="137"/>
              <w:spacing w:after="0"/>
              <w:rPr>
                <w:sz w:val="20"/>
                <w:szCs w:val="20"/>
                <w:color w:val="auto"/>
              </w:rPr>
            </w:pPr>
            <w:r>
              <w:rPr>
                <w:rFonts w:ascii="Arial" w:cs="Arial" w:eastAsia="Arial" w:hAnsi="Arial"/>
                <w:sz w:val="13"/>
                <w:szCs w:val="13"/>
                <w:b w:val="1"/>
                <w:bCs w:val="1"/>
                <w:color w:val="auto"/>
                <w:w w:val="86"/>
              </w:rPr>
              <w:t>other</w:t>
            </w:r>
          </w:p>
        </w:tc>
        <w:tc>
          <w:tcPr>
            <w:tcW w:w="8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6"/>
              </w:rPr>
              <w:t>BuzzFeed, Inc.</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160" w:type="dxa"/>
            <w:vAlign w:val="bottom"/>
            <w:gridSpan w:val="3"/>
            <w:vMerge w:val="restart"/>
          </w:tcPr>
          <w:p>
            <w:pPr>
              <w:jc w:val="right"/>
              <w:ind w:right="217"/>
              <w:spacing w:after="0"/>
              <w:rPr>
                <w:sz w:val="20"/>
                <w:szCs w:val="20"/>
                <w:color w:val="auto"/>
              </w:rPr>
            </w:pPr>
            <w:r>
              <w:rPr>
                <w:rFonts w:ascii="Arial" w:cs="Arial" w:eastAsia="Arial" w:hAnsi="Arial"/>
                <w:sz w:val="13"/>
                <w:szCs w:val="13"/>
                <w:b w:val="1"/>
                <w:bCs w:val="1"/>
                <w:color w:val="auto"/>
              </w:rPr>
              <w:t>Class A</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4"/>
            <w:vMerge w:val="restart"/>
          </w:tcPr>
          <w:p>
            <w:pPr>
              <w:jc w:val="right"/>
              <w:ind w:right="397"/>
              <w:spacing w:after="0"/>
              <w:rPr>
                <w:sz w:val="20"/>
                <w:szCs w:val="20"/>
                <w:color w:val="auto"/>
              </w:rPr>
            </w:pPr>
            <w:r>
              <w:rPr>
                <w:rFonts w:ascii="Arial" w:cs="Arial" w:eastAsia="Arial" w:hAnsi="Arial"/>
                <w:sz w:val="13"/>
                <w:szCs w:val="13"/>
                <w:b w:val="1"/>
                <w:bCs w:val="1"/>
                <w:color w:val="auto"/>
              </w:rPr>
              <w:t>Class B</w:t>
            </w:r>
          </w:p>
        </w:tc>
        <w:tc>
          <w:tcPr>
            <w:tcW w:w="100" w:type="dxa"/>
            <w:vAlign w:val="bottom"/>
          </w:tcPr>
          <w:p>
            <w:pPr>
              <w:spacing w:after="0"/>
              <w:rPr>
                <w:sz w:val="5"/>
                <w:szCs w:val="5"/>
                <w:color w:val="auto"/>
              </w:rPr>
            </w:pPr>
          </w:p>
        </w:tc>
        <w:tc>
          <w:tcPr>
            <w:tcW w:w="1320" w:type="dxa"/>
            <w:vAlign w:val="bottom"/>
            <w:gridSpan w:val="4"/>
            <w:vMerge w:val="restart"/>
          </w:tcPr>
          <w:p>
            <w:pPr>
              <w:jc w:val="right"/>
              <w:ind w:right="397"/>
              <w:spacing w:after="0"/>
              <w:rPr>
                <w:sz w:val="20"/>
                <w:szCs w:val="20"/>
                <w:color w:val="auto"/>
              </w:rPr>
            </w:pPr>
            <w:r>
              <w:rPr>
                <w:rFonts w:ascii="Arial" w:cs="Arial" w:eastAsia="Arial" w:hAnsi="Arial"/>
                <w:sz w:val="13"/>
                <w:szCs w:val="13"/>
                <w:b w:val="1"/>
                <w:bCs w:val="1"/>
                <w:color w:val="auto"/>
              </w:rPr>
              <w:t>Class C</w:t>
            </w: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66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center"/>
              <w:ind w:right="57"/>
              <w:spacing w:after="0" w:line="106" w:lineRule="exact"/>
              <w:rPr>
                <w:sz w:val="20"/>
                <w:szCs w:val="20"/>
                <w:color w:val="auto"/>
              </w:rPr>
            </w:pPr>
            <w:r>
              <w:rPr>
                <w:rFonts w:ascii="Arial" w:cs="Arial" w:eastAsia="Arial" w:hAnsi="Arial"/>
                <w:sz w:val="12"/>
                <w:szCs w:val="12"/>
                <w:b w:val="1"/>
                <w:bCs w:val="1"/>
                <w:color w:val="auto"/>
                <w:w w:val="96"/>
              </w:rPr>
              <w:t>paid-in</w:t>
            </w:r>
          </w:p>
        </w:tc>
        <w:tc>
          <w:tcPr>
            <w:tcW w:w="100" w:type="dxa"/>
            <w:vAlign w:val="bottom"/>
          </w:tcPr>
          <w:p>
            <w:pPr>
              <w:spacing w:after="0"/>
              <w:rPr>
                <w:sz w:val="8"/>
                <w:szCs w:val="8"/>
                <w:color w:val="auto"/>
              </w:rPr>
            </w:pPr>
          </w:p>
        </w:tc>
        <w:tc>
          <w:tcPr>
            <w:tcW w:w="740" w:type="dxa"/>
            <w:vAlign w:val="bottom"/>
            <w:gridSpan w:val="2"/>
            <w:vMerge w:val="restart"/>
          </w:tcPr>
          <w:p>
            <w:pPr>
              <w:ind w:left="20"/>
              <w:spacing w:after="0" w:line="106"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8"/>
                <w:szCs w:val="8"/>
                <w:color w:val="auto"/>
              </w:rPr>
            </w:pPr>
          </w:p>
        </w:tc>
        <w:tc>
          <w:tcPr>
            <w:tcW w:w="880" w:type="dxa"/>
            <w:vAlign w:val="bottom"/>
            <w:gridSpan w:val="2"/>
            <w:vMerge w:val="restart"/>
          </w:tcPr>
          <w:p>
            <w:pPr>
              <w:ind w:left="40"/>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80" w:type="dxa"/>
            <w:vAlign w:val="bottom"/>
          </w:tcPr>
          <w:p>
            <w:pPr>
              <w:spacing w:after="0"/>
              <w:rPr>
                <w:sz w:val="8"/>
                <w:szCs w:val="8"/>
                <w:color w:val="auto"/>
              </w:rPr>
            </w:pPr>
          </w:p>
        </w:tc>
        <w:tc>
          <w:tcPr>
            <w:tcW w:w="820" w:type="dxa"/>
            <w:vAlign w:val="bottom"/>
            <w:gridSpan w:val="2"/>
            <w:vMerge w:val="restart"/>
          </w:tcPr>
          <w:p>
            <w:pPr>
              <w:jc w:val="center"/>
              <w:spacing w:after="0" w:line="106" w:lineRule="exact"/>
              <w:rPr>
                <w:sz w:val="20"/>
                <w:szCs w:val="20"/>
                <w:color w:val="auto"/>
              </w:rPr>
            </w:pPr>
            <w:r>
              <w:rPr>
                <w:rFonts w:ascii="Arial" w:cs="Arial" w:eastAsia="Arial" w:hAnsi="Arial"/>
                <w:sz w:val="12"/>
                <w:szCs w:val="12"/>
                <w:b w:val="1"/>
                <w:bCs w:val="1"/>
                <w:color w:val="auto"/>
                <w:w w:val="92"/>
              </w:rPr>
              <w:t>stockholders’</w:t>
            </w:r>
          </w:p>
        </w:tc>
        <w:tc>
          <w:tcPr>
            <w:tcW w:w="100" w:type="dxa"/>
            <w:vAlign w:val="bottom"/>
          </w:tcPr>
          <w:p>
            <w:pPr>
              <w:spacing w:after="0"/>
              <w:rPr>
                <w:sz w:val="8"/>
                <w:szCs w:val="8"/>
                <w:color w:val="auto"/>
              </w:rPr>
            </w:pPr>
          </w:p>
        </w:tc>
        <w:tc>
          <w:tcPr>
            <w:tcW w:w="920" w:type="dxa"/>
            <w:vAlign w:val="bottom"/>
            <w:gridSpan w:val="2"/>
            <w:vMerge w:val="restart"/>
          </w:tcPr>
          <w:p>
            <w:pPr>
              <w:jc w:val="right"/>
              <w:spacing w:after="0" w:line="106" w:lineRule="exact"/>
              <w:rPr>
                <w:sz w:val="20"/>
                <w:szCs w:val="20"/>
                <w:color w:val="auto"/>
              </w:rPr>
            </w:pPr>
            <w:r>
              <w:rPr>
                <w:rFonts w:ascii="Arial" w:cs="Arial" w:eastAsia="Arial" w:hAnsi="Arial"/>
                <w:sz w:val="12"/>
                <w:szCs w:val="12"/>
                <w:b w:val="1"/>
                <w:bCs w:val="1"/>
                <w:color w:val="auto"/>
                <w:w w:val="98"/>
              </w:rPr>
              <w:t>Noncontrolling</w:t>
            </w:r>
          </w:p>
        </w:tc>
        <w:tc>
          <w:tcPr>
            <w:tcW w:w="80" w:type="dxa"/>
            <w:vAlign w:val="bottom"/>
          </w:tcPr>
          <w:p>
            <w:pPr>
              <w:spacing w:after="0"/>
              <w:rPr>
                <w:sz w:val="8"/>
                <w:szCs w:val="8"/>
                <w:color w:val="auto"/>
              </w:rPr>
            </w:pPr>
          </w:p>
        </w:tc>
        <w:tc>
          <w:tcPr>
            <w:tcW w:w="840" w:type="dxa"/>
            <w:vAlign w:val="bottom"/>
            <w:gridSpan w:val="2"/>
            <w:vMerge w:val="restart"/>
          </w:tcPr>
          <w:p>
            <w:pPr>
              <w:jc w:val="center"/>
              <w:spacing w:after="0" w:line="106" w:lineRule="exact"/>
              <w:rPr>
                <w:sz w:val="20"/>
                <w:szCs w:val="20"/>
                <w:color w:val="auto"/>
              </w:rPr>
            </w:pPr>
            <w:r>
              <w:rPr>
                <w:rFonts w:ascii="Arial" w:cs="Arial" w:eastAsia="Arial" w:hAnsi="Arial"/>
                <w:sz w:val="12"/>
                <w:szCs w:val="12"/>
                <w:b w:val="1"/>
                <w:bCs w:val="1"/>
                <w:color w:val="auto"/>
                <w:w w:val="92"/>
              </w:rPr>
              <w:t>stockholders’</w:t>
            </w: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64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7"/>
              <w:spacing w:after="0"/>
              <w:rPr>
                <w:sz w:val="20"/>
                <w:szCs w:val="20"/>
                <w:color w:val="auto"/>
              </w:rPr>
            </w:pPr>
            <w:r>
              <w:rPr>
                <w:rFonts w:ascii="Arial" w:cs="Arial" w:eastAsia="Arial" w:hAnsi="Arial"/>
                <w:sz w:val="13"/>
                <w:szCs w:val="13"/>
                <w:b w:val="1"/>
                <w:bCs w:val="1"/>
                <w:color w:val="auto"/>
                <w:w w:val="99"/>
              </w:rPr>
              <w:t>deficit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b w:val="1"/>
                <w:bCs w:val="1"/>
                <w:color w:val="auto"/>
                <w:w w:val="76"/>
              </w:rPr>
              <w:t>loss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97"/>
              <w:spacing w:after="0"/>
              <w:rPr>
                <w:sz w:val="20"/>
                <w:szCs w:val="20"/>
                <w:color w:val="auto"/>
              </w:rPr>
            </w:pPr>
            <w:r>
              <w:rPr>
                <w:rFonts w:ascii="Arial" w:cs="Arial" w:eastAsia="Arial" w:hAnsi="Arial"/>
                <w:sz w:val="13"/>
                <w:szCs w:val="13"/>
                <w:b w:val="1"/>
                <w:bCs w:val="1"/>
                <w:color w:val="auto"/>
                <w:w w:val="88"/>
              </w:rPr>
              <w:t>equity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b w:val="1"/>
                <w:bCs w:val="1"/>
                <w:color w:val="auto"/>
                <w:w w:val="92"/>
              </w:rPr>
              <w:t>interests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97"/>
              <w:spacing w:after="0"/>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r>
        <w:trPr>
          <w:trHeight w:val="29"/>
        </w:trPr>
        <w:tc>
          <w:tcPr>
            <w:tcW w:w="16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7"/>
              </w:rPr>
              <w:t>Balance at January 1, 2023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126,387</w:t>
            </w:r>
          </w:p>
        </w:tc>
        <w:tc>
          <w:tcPr>
            <w:tcW w:w="520" w:type="dxa"/>
            <w:vAlign w:val="bottom"/>
            <w:tcBorders>
              <w:bottom w:val="single" w:sz="8" w:color="CCEEFF"/>
            </w:tcBorders>
            <w:gridSpan w:val="2"/>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13</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6,678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716,233</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(523,063)</w:t>
            </w: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191,217</w:t>
            </w:r>
          </w:p>
        </w:tc>
        <w:tc>
          <w:tcPr>
            <w:tcW w:w="2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3,337</w:t>
            </w:r>
          </w:p>
        </w:tc>
        <w:tc>
          <w:tcPr>
            <w:tcW w:w="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194,554</w:t>
            </w:r>
          </w:p>
        </w:tc>
        <w:tc>
          <w:tcPr>
            <w:tcW w:w="0" w:type="dxa"/>
            <w:vAlign w:val="bottom"/>
          </w:tcPr>
          <w:p>
            <w:pPr>
              <w:spacing w:after="0"/>
              <w:rPr>
                <w:sz w:val="1"/>
                <w:szCs w:val="1"/>
                <w:color w:val="auto"/>
              </w:rPr>
            </w:pP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rPr>
              <w:t>Cumulative effect of</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60" w:type="dxa"/>
            <w:vAlign w:val="bottom"/>
          </w:tcPr>
          <w:p>
            <w:pPr>
              <w:ind w:left="20"/>
              <w:spacing w:after="0"/>
              <w:rPr>
                <w:sz w:val="20"/>
                <w:szCs w:val="20"/>
                <w:color w:val="auto"/>
              </w:rPr>
            </w:pPr>
            <w:r>
              <w:rPr>
                <w:rFonts w:ascii="Arial" w:cs="Arial" w:eastAsia="Arial" w:hAnsi="Arial"/>
                <w:sz w:val="13"/>
                <w:szCs w:val="13"/>
                <w:color w:val="auto"/>
                <w:w w:val="87"/>
              </w:rPr>
              <w:t>accounting change (see Note 2)</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(36,001)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(36,001)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(36,261)</w:t>
            </w: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1,122</w:t>
            </w:r>
          </w:p>
        </w:tc>
        <w:tc>
          <w:tcPr>
            <w:tcW w:w="0" w:type="dxa"/>
            <w:vAlign w:val="bottom"/>
          </w:tcPr>
          <w:p>
            <w:pPr>
              <w:spacing w:after="0"/>
              <w:rPr>
                <w:sz w:val="1"/>
                <w:szCs w:val="1"/>
                <w:color w:val="auto"/>
              </w:rPr>
            </w:pPr>
          </w:p>
        </w:tc>
      </w:tr>
      <w:tr>
        <w:trPr>
          <w:trHeight w:val="43"/>
        </w:trPr>
        <w:tc>
          <w:tcPr>
            <w:tcW w:w="1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Issuance of common stock in</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w w:val="89"/>
              </w:rPr>
              <w:t>connection with share-based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plans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94"/>
              </w:rPr>
              <w:t>Shares withheld for employee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60" w:type="dxa"/>
            <w:vAlign w:val="bottom"/>
          </w:tcPr>
          <w:p>
            <w:pPr>
              <w:ind w:left="20"/>
              <w:spacing w:after="0"/>
              <w:rPr>
                <w:sz w:val="20"/>
                <w:szCs w:val="20"/>
                <w:color w:val="auto"/>
              </w:rPr>
            </w:pPr>
            <w:r>
              <w:rPr>
                <w:rFonts w:ascii="Arial" w:cs="Arial" w:eastAsia="Arial" w:hAnsi="Arial"/>
                <w:sz w:val="13"/>
                <w:szCs w:val="13"/>
                <w:color w:val="auto"/>
              </w:rPr>
              <w:t>taxes</w:t>
            </w:r>
          </w:p>
        </w:tc>
        <w:tc>
          <w:tcPr>
            <w:tcW w:w="640" w:type="dxa"/>
            <w:vAlign w:val="bottom"/>
          </w:tcPr>
          <w:p>
            <w:pPr>
              <w:jc w:val="right"/>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43"/>
        </w:trPr>
        <w:tc>
          <w:tcPr>
            <w:tcW w:w="1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88"/>
              </w:rPr>
              <w:t>Conversion of Class B common</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60"/>
              <w:spacing w:after="0"/>
              <w:rPr>
                <w:sz w:val="20"/>
                <w:szCs w:val="20"/>
                <w:color w:val="auto"/>
              </w:rPr>
            </w:pPr>
            <w:r>
              <w:rPr>
                <w:rFonts w:ascii="Arial" w:cs="Arial" w:eastAsia="Arial" w:hAnsi="Arial"/>
                <w:sz w:val="13"/>
                <w:szCs w:val="13"/>
                <w:color w:val="auto"/>
              </w:rPr>
              <w:t>stock to Class A common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60" w:type="dxa"/>
            <w:vAlign w:val="bottom"/>
          </w:tcPr>
          <w:p>
            <w:pPr>
              <w:ind w:left="160"/>
              <w:spacing w:after="0"/>
              <w:rPr>
                <w:sz w:val="20"/>
                <w:szCs w:val="20"/>
                <w:color w:val="auto"/>
              </w:rPr>
            </w:pPr>
            <w:r>
              <w:rPr>
                <w:rFonts w:ascii="Arial" w:cs="Arial" w:eastAsia="Arial" w:hAnsi="Arial"/>
                <w:sz w:val="13"/>
                <w:szCs w:val="13"/>
                <w:color w:val="auto"/>
              </w:rPr>
              <w:t>stock</w:t>
            </w: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Conversion of Class C common</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to Class A common</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stock</w:t>
            </w: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6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640" w:type="dxa"/>
            <w:vAlign w:val="bottom"/>
          </w:tcPr>
          <w:p>
            <w:pPr>
              <w:jc w:val="right"/>
              <w:spacing w:after="0"/>
              <w:rPr>
                <w:sz w:val="20"/>
                <w:szCs w:val="20"/>
                <w:color w:val="auto"/>
              </w:rPr>
            </w:pPr>
            <w:r>
              <w:rPr>
                <w:rFonts w:ascii="Arial" w:cs="Arial" w:eastAsia="Arial" w:hAnsi="Arial"/>
                <w:sz w:val="13"/>
                <w:szCs w:val="13"/>
                <w:color w:val="auto"/>
              </w:rPr>
              <w:t>133,258</w:t>
            </w:r>
          </w:p>
        </w:tc>
        <w:tc>
          <w:tcPr>
            <w:tcW w:w="520" w:type="dxa"/>
            <w:vAlign w:val="bottom"/>
            <w:gridSpan w:val="2"/>
          </w:tcPr>
          <w:p>
            <w:pPr>
              <w:jc w:val="right"/>
              <w:ind w:right="29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14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6,676</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717,191</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(559,190)</w:t>
            </w: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(2,669)</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155,347</w:t>
            </w:r>
          </w:p>
        </w:tc>
        <w:tc>
          <w:tcPr>
            <w:tcW w:w="260" w:type="dxa"/>
            <w:vAlign w:val="bottom"/>
            <w:gridSpan w:val="2"/>
          </w:tcPr>
          <w:p>
            <w:pPr>
              <w:jc w:val="right"/>
              <w:ind w:right="2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3,019</w:t>
            </w:r>
          </w:p>
        </w:tc>
        <w:tc>
          <w:tcPr>
            <w:tcW w:w="240" w:type="dxa"/>
            <w:vAlign w:val="bottom"/>
            <w:gridSpan w:val="2"/>
          </w:tcPr>
          <w:p>
            <w:pPr>
              <w:jc w:val="right"/>
              <w:ind w:right="22"/>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158,366</w:t>
            </w:r>
          </w:p>
        </w:tc>
        <w:tc>
          <w:tcPr>
            <w:tcW w:w="0" w:type="dxa"/>
            <w:vAlign w:val="bottom"/>
          </w:tcPr>
          <w:p>
            <w:pPr>
              <w:spacing w:after="0"/>
              <w:rPr>
                <w:sz w:val="1"/>
                <w:szCs w:val="1"/>
                <w:color w:val="auto"/>
              </w:rPr>
            </w:pPr>
          </w:p>
        </w:tc>
      </w:tr>
      <w:tr>
        <w:trPr>
          <w:trHeight w:val="29"/>
        </w:trPr>
        <w:tc>
          <w:tcPr>
            <w:tcW w:w="16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(27,836)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(27,836)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(27,836)</w:t>
            </w: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2,257</w:t>
            </w:r>
          </w:p>
        </w:tc>
        <w:tc>
          <w:tcPr>
            <w:tcW w:w="0" w:type="dxa"/>
            <w:vAlign w:val="bottom"/>
          </w:tcPr>
          <w:p>
            <w:pPr>
              <w:spacing w:after="0"/>
              <w:rPr>
                <w:sz w:val="1"/>
                <w:szCs w:val="1"/>
                <w:color w:val="auto"/>
              </w:rPr>
            </w:pPr>
          </w:p>
        </w:tc>
      </w:tr>
      <w:tr>
        <w:trPr>
          <w:trHeight w:val="30"/>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Issuance of common stock in</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w w:val="89"/>
              </w:rPr>
              <w:t>connection with share-based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plans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1,692</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94"/>
              </w:rPr>
              <w:t>Shares withheld for employee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60" w:type="dxa"/>
            <w:vAlign w:val="bottom"/>
          </w:tcPr>
          <w:p>
            <w:pPr>
              <w:ind w:left="20"/>
              <w:spacing w:after="0"/>
              <w:rPr>
                <w:sz w:val="20"/>
                <w:szCs w:val="20"/>
                <w:color w:val="auto"/>
              </w:rPr>
            </w:pPr>
            <w:r>
              <w:rPr>
                <w:rFonts w:ascii="Arial" w:cs="Arial" w:eastAsia="Arial" w:hAnsi="Arial"/>
                <w:sz w:val="13"/>
                <w:szCs w:val="13"/>
                <w:color w:val="auto"/>
              </w:rPr>
              <w:t>taxes</w:t>
            </w:r>
          </w:p>
        </w:tc>
        <w:tc>
          <w:tcPr>
            <w:tcW w:w="64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30"/>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Issuance of common stock in</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connection with at-the-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market offering, net of</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issuance costs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0" w:type="dxa"/>
            <w:vAlign w:val="bottom"/>
          </w:tcPr>
          <w:p>
            <w:pPr>
              <w:spacing w:after="0"/>
              <w:rPr>
                <w:sz w:val="1"/>
                <w:szCs w:val="1"/>
                <w:color w:val="auto"/>
              </w:rPr>
            </w:pP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95"/>
              </w:rPr>
              <w:t>Other comprehensive income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60" w:type="dxa"/>
            <w:vAlign w:val="bottom"/>
          </w:tcPr>
          <w:p>
            <w:pPr>
              <w:ind w:left="20"/>
              <w:spacing w:after="0"/>
              <w:rPr>
                <w:sz w:val="20"/>
                <w:szCs w:val="20"/>
                <w:color w:val="auto"/>
              </w:rPr>
            </w:pPr>
            <w:r>
              <w:rPr>
                <w:rFonts w:ascii="Arial" w:cs="Arial" w:eastAsia="Arial" w:hAnsi="Arial"/>
                <w:sz w:val="13"/>
                <w:szCs w:val="13"/>
                <w:color w:val="auto"/>
              </w:rPr>
              <w:t>(loss)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30"/>
        </w:trPr>
        <w:tc>
          <w:tcPr>
            <w:tcW w:w="16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136,615</w:t>
            </w:r>
          </w:p>
        </w:tc>
        <w:tc>
          <w:tcPr>
            <w:tcW w:w="520" w:type="dxa"/>
            <w:vAlign w:val="bottom"/>
            <w:gridSpan w:val="2"/>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720,231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(587,026)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130,850</w:t>
            </w: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2,777</w:t>
            </w:r>
          </w:p>
        </w:tc>
        <w:tc>
          <w:tcPr>
            <w:tcW w:w="24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133,627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3400"/>
        <w:spacing w:after="0"/>
        <w:rPr>
          <w:sz w:val="20"/>
          <w:szCs w:val="20"/>
          <w:color w:val="auto"/>
        </w:rPr>
      </w:pPr>
      <w:r>
        <w:rPr>
          <w:rFonts w:ascii="Arial" w:cs="Arial" w:eastAsia="Arial" w:hAnsi="Arial"/>
          <w:sz w:val="13"/>
          <w:szCs w:val="13"/>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19685</wp:posOffset>
            </wp:positionV>
            <wp:extent cx="60782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8220" cy="825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133"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Common Stock –</w:t>
            </w:r>
          </w:p>
        </w:tc>
        <w:tc>
          <w:tcPr>
            <w:tcW w:w="8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Common Stock –</w:t>
            </w:r>
          </w:p>
        </w:tc>
      </w:tr>
      <w:tr>
        <w:trPr>
          <w:trHeight w:val="174"/>
        </w:trPr>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Class A</w:t>
            </w:r>
          </w:p>
        </w:tc>
        <w:tc>
          <w:tcPr>
            <w:tcW w:w="8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Class B</w:t>
            </w:r>
          </w:p>
        </w:tc>
      </w:tr>
      <w:tr>
        <w:trPr>
          <w:trHeight w:val="187"/>
        </w:trPr>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Shares</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6"/>
                <w:szCs w:val="16"/>
                <w:color w:val="auto"/>
              </w:rPr>
            </w:pPr>
          </w:p>
        </w:tc>
        <w:tc>
          <w:tcPr>
            <w:tcW w:w="640" w:type="dxa"/>
            <w:vAlign w:val="bottom"/>
          </w:tcPr>
          <w:p>
            <w:pPr>
              <w:ind w:left="120"/>
              <w:spacing w:after="0"/>
              <w:rPr>
                <w:sz w:val="20"/>
                <w:szCs w:val="20"/>
                <w:color w:val="auto"/>
              </w:rPr>
            </w:pPr>
            <w:r>
              <w:rPr>
                <w:rFonts w:ascii="Arial" w:cs="Arial" w:eastAsia="Arial" w:hAnsi="Arial"/>
                <w:sz w:val="13"/>
                <w:szCs w:val="13"/>
                <w:b w:val="1"/>
                <w:bCs w:val="1"/>
                <w:color w:val="auto"/>
              </w:rPr>
              <w:t>Shares</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Amount</w:t>
            </w: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Common Stock –</w:t>
            </w: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320" w:type="dxa"/>
            <w:vAlign w:val="bottom"/>
            <w:gridSpan w:val="2"/>
            <w:vMerge w:val="continue"/>
          </w:tcPr>
          <w:p>
            <w:pPr>
              <w:spacing w:after="0"/>
              <w:rPr>
                <w:sz w:val="5"/>
                <w:szCs w:val="5"/>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Additional</w:t>
            </w:r>
          </w:p>
        </w:tc>
        <w:tc>
          <w:tcPr>
            <w:tcW w:w="860" w:type="dxa"/>
            <w:vAlign w:val="bottom"/>
          </w:tcPr>
          <w:p>
            <w:pPr>
              <w:spacing w:after="0"/>
              <w:rPr>
                <w:sz w:val="5"/>
                <w:szCs w:val="5"/>
                <w:color w:val="auto"/>
              </w:rPr>
            </w:pP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BuzzFeed, Inc.</w:t>
            </w:r>
          </w:p>
        </w:tc>
        <w:tc>
          <w:tcPr>
            <w:tcW w:w="980" w:type="dxa"/>
            <w:vAlign w:val="bottom"/>
          </w:tcPr>
          <w:p>
            <w:pPr>
              <w:spacing w:after="0"/>
              <w:rPr>
                <w:sz w:val="5"/>
                <w:szCs w:val="5"/>
                <w:color w:val="auto"/>
              </w:rPr>
            </w:pPr>
          </w:p>
        </w:tc>
        <w:tc>
          <w:tcPr>
            <w:tcW w:w="820" w:type="dxa"/>
            <w:vAlign w:val="bottom"/>
            <w:vMerge w:val="restart"/>
          </w:tcPr>
          <w:p>
            <w:pPr>
              <w:jc w:val="center"/>
              <w:ind w:left="3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13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3"/>
              </w:rPr>
              <w:t>Class C</w:t>
            </w:r>
          </w:p>
        </w:tc>
        <w:tc>
          <w:tcPr>
            <w:tcW w:w="7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320" w:type="dxa"/>
            <w:vAlign w:val="bottom"/>
            <w:tcBorders>
              <w:bottom w:val="single" w:sz="8" w:color="auto"/>
            </w:tcBorders>
            <w:gridSpan w:val="2"/>
            <w:vMerge w:val="continue"/>
          </w:tcPr>
          <w:p>
            <w:pPr>
              <w:spacing w:after="0"/>
              <w:rPr>
                <w:sz w:val="9"/>
                <w:szCs w:val="9"/>
                <w:color w:val="auto"/>
              </w:rPr>
            </w:pPr>
          </w:p>
        </w:tc>
        <w:tc>
          <w:tcPr>
            <w:tcW w:w="7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paid-in</w:t>
            </w:r>
          </w:p>
        </w:tc>
        <w:tc>
          <w:tcPr>
            <w:tcW w:w="8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2"/>
              </w:rPr>
              <w:t>Accumulated</w:t>
            </w:r>
          </w:p>
        </w:tc>
        <w:tc>
          <w:tcPr>
            <w:tcW w:w="94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0"/>
              </w:rPr>
              <w:t>comprehensive</w:t>
            </w:r>
          </w:p>
        </w:tc>
        <w:tc>
          <w:tcPr>
            <w:tcW w:w="94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2"/>
              </w:rPr>
              <w:t>stockholders’</w:t>
            </w:r>
          </w:p>
        </w:tc>
        <w:tc>
          <w:tcPr>
            <w:tcW w:w="9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3"/>
              </w:rPr>
              <w:t>Noncontrolling</w:t>
            </w:r>
          </w:p>
        </w:tc>
        <w:tc>
          <w:tcPr>
            <w:tcW w:w="820" w:type="dxa"/>
            <w:vAlign w:val="bottom"/>
          </w:tcPr>
          <w:p>
            <w:pPr>
              <w:jc w:val="center"/>
              <w:ind w:left="39"/>
              <w:spacing w:after="0" w:line="106" w:lineRule="exact"/>
              <w:rPr>
                <w:sz w:val="20"/>
                <w:szCs w:val="20"/>
                <w:color w:val="auto"/>
              </w:rPr>
            </w:pPr>
            <w:r>
              <w:rPr>
                <w:rFonts w:ascii="Arial" w:cs="Arial" w:eastAsia="Arial" w:hAnsi="Arial"/>
                <w:sz w:val="12"/>
                <w:szCs w:val="12"/>
                <w:b w:val="1"/>
                <w:bCs w:val="1"/>
                <w:color w:val="auto"/>
                <w:w w:val="92"/>
              </w:rPr>
              <w:t>stockholders’</w:t>
            </w:r>
          </w:p>
        </w:tc>
        <w:tc>
          <w:tcPr>
            <w:tcW w:w="0" w:type="dxa"/>
            <w:vAlign w:val="bottom"/>
          </w:tcPr>
          <w:p>
            <w:pPr>
              <w:spacing w:after="0"/>
              <w:rPr>
                <w:sz w:val="1"/>
                <w:szCs w:val="1"/>
                <w:color w:val="auto"/>
              </w:rPr>
            </w:pPr>
          </w:p>
        </w:tc>
      </w:tr>
      <w:tr>
        <w:trPr>
          <w:trHeight w:val="187"/>
        </w:trPr>
        <w:tc>
          <w:tcPr>
            <w:tcW w:w="620" w:type="dxa"/>
            <w:vAlign w:val="bottom"/>
          </w:tcPr>
          <w:p>
            <w:pPr>
              <w:ind w:left="120"/>
              <w:spacing w:after="0"/>
              <w:rPr>
                <w:sz w:val="20"/>
                <w:szCs w:val="20"/>
                <w:color w:val="auto"/>
              </w:rPr>
            </w:pPr>
            <w:r>
              <w:rPr>
                <w:rFonts w:ascii="Arial" w:cs="Arial" w:eastAsia="Arial" w:hAnsi="Arial"/>
                <w:sz w:val="13"/>
                <w:szCs w:val="13"/>
                <w:b w:val="1"/>
                <w:bCs w:val="1"/>
                <w:color w:val="auto"/>
              </w:rPr>
              <w:t>Shares</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76"/>
              </w:rPr>
              <w:t>loss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equity</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1"/>
              </w:rPr>
              <w:t>interests</w:t>
            </w:r>
          </w:p>
        </w:tc>
        <w:tc>
          <w:tcPr>
            <w:tcW w:w="820" w:type="dxa"/>
            <w:vAlign w:val="bottom"/>
          </w:tcPr>
          <w:p>
            <w:pPr>
              <w:jc w:val="center"/>
              <w:ind w:left="39"/>
              <w:spacing w:after="0"/>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440" w:space="100"/>
            <w:col w:w="670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7"/>
              </w:rPr>
              <w:t>Balance at January 1, 2022</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116,175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12,397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695,869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(322,106)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370,543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372,587</w:t>
            </w:r>
          </w:p>
        </w:tc>
      </w:tr>
      <w:tr>
        <w:trPr>
          <w:trHeight w:val="173"/>
        </w:trPr>
        <w:tc>
          <w:tcPr>
            <w:tcW w:w="166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(44,894)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(44,894)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(44,730)</w:t>
            </w:r>
          </w:p>
        </w:tc>
      </w:tr>
      <w:tr>
        <w:trPr>
          <w:trHeight w:val="29"/>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w:t>
            </w: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86"/>
              </w:rPr>
              <w:t>Issuance of common stock upon</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0"/>
        </w:trPr>
        <w:tc>
          <w:tcPr>
            <w:tcW w:w="1660" w:type="dxa"/>
            <w:vAlign w:val="bottom"/>
          </w:tcPr>
          <w:p>
            <w:pPr>
              <w:ind w:left="160"/>
              <w:spacing w:after="0"/>
              <w:rPr>
                <w:sz w:val="20"/>
                <w:szCs w:val="20"/>
                <w:color w:val="auto"/>
              </w:rPr>
            </w:pPr>
            <w:r>
              <w:rPr>
                <w:rFonts w:ascii="Arial" w:cs="Arial" w:eastAsia="Arial" w:hAnsi="Arial"/>
                <w:sz w:val="13"/>
                <w:szCs w:val="13"/>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3"/>
                <w:szCs w:val="13"/>
                <w:color w:val="auto"/>
              </w:rPr>
              <w:t>411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359</w:t>
            </w:r>
          </w:p>
        </w:tc>
      </w:tr>
      <w:tr>
        <w:trPr>
          <w:trHeight w:val="29"/>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88"/>
              </w:rPr>
              <w:t>Conversion of Class B common</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35"/>
        </w:trPr>
        <w:tc>
          <w:tcPr>
            <w:tcW w:w="1660" w:type="dxa"/>
            <w:vAlign w:val="bottom"/>
          </w:tcPr>
          <w:p>
            <w:pPr>
              <w:ind w:left="160"/>
              <w:spacing w:after="0" w:line="135" w:lineRule="exact"/>
              <w:rPr>
                <w:sz w:val="20"/>
                <w:szCs w:val="20"/>
                <w:color w:val="auto"/>
              </w:rPr>
            </w:pPr>
            <w:r>
              <w:rPr>
                <w:rFonts w:ascii="Arial" w:cs="Arial" w:eastAsia="Arial" w:hAnsi="Arial"/>
                <w:sz w:val="13"/>
                <w:szCs w:val="13"/>
                <w:color w:val="auto"/>
              </w:rPr>
              <w:t>stock to Class A common</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0"/>
        </w:trPr>
        <w:tc>
          <w:tcPr>
            <w:tcW w:w="1660" w:type="dxa"/>
            <w:vAlign w:val="bottom"/>
          </w:tcPr>
          <w:p>
            <w:pPr>
              <w:ind w:left="160"/>
              <w:spacing w:after="0"/>
              <w:rPr>
                <w:sz w:val="20"/>
                <w:szCs w:val="20"/>
                <w:color w:val="auto"/>
              </w:rPr>
            </w:pPr>
            <w:r>
              <w:rPr>
                <w:rFonts w:ascii="Arial" w:cs="Arial" w:eastAsia="Arial" w:hAnsi="Arial"/>
                <w:sz w:val="13"/>
                <w:szCs w:val="13"/>
                <w:color w:val="auto"/>
              </w:rPr>
              <w:t>stock</w:t>
            </w:r>
          </w:p>
        </w:tc>
        <w:tc>
          <w:tcPr>
            <w:tcW w:w="640" w:type="dxa"/>
            <w:vAlign w:val="bottom"/>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16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6"/>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116,689</w:t>
            </w:r>
          </w:p>
        </w:tc>
        <w:tc>
          <w:tcPr>
            <w:tcW w:w="34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12,294</w:t>
            </w:r>
          </w:p>
        </w:tc>
        <w:tc>
          <w:tcPr>
            <w:tcW w:w="3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38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700,167</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(367,000)</w:t>
            </w:r>
          </w:p>
        </w:tc>
        <w:tc>
          <w:tcPr>
            <w:tcW w:w="34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(3,336)</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329,845</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332,053</w:t>
            </w:r>
          </w:p>
        </w:tc>
      </w:tr>
      <w:tr>
        <w:trPr>
          <w:trHeight w:val="173"/>
        </w:trPr>
        <w:tc>
          <w:tcPr>
            <w:tcW w:w="166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(23,765)</w:t>
            </w: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(23,765)</w:t>
            </w: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w:t>
            </w: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(23,581)</w:t>
            </w:r>
          </w:p>
        </w:tc>
      </w:tr>
      <w:tr>
        <w:trPr>
          <w:trHeight w:val="29"/>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11,284</w:t>
            </w: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86"/>
              </w:rPr>
              <w:t>Issuance of common stock upon</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0"/>
        </w:trPr>
        <w:tc>
          <w:tcPr>
            <w:tcW w:w="1660" w:type="dxa"/>
            <w:vAlign w:val="bottom"/>
          </w:tcPr>
          <w:p>
            <w:pPr>
              <w:ind w:left="160"/>
              <w:spacing w:after="0"/>
              <w:rPr>
                <w:sz w:val="20"/>
                <w:szCs w:val="20"/>
                <w:color w:val="auto"/>
              </w:rPr>
            </w:pPr>
            <w:r>
              <w:rPr>
                <w:rFonts w:ascii="Arial" w:cs="Arial" w:eastAsia="Arial" w:hAnsi="Arial"/>
                <w:sz w:val="13"/>
                <w:szCs w:val="13"/>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3"/>
                <w:szCs w:val="13"/>
                <w:color w:val="auto"/>
              </w:rPr>
              <w:t>3,561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9"/>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48"/>
        </w:trPr>
        <w:tc>
          <w:tcPr>
            <w:tcW w:w="16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4"/>
              </w:rPr>
              <w:t>Shares withheld for employee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0"/>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taxes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(1,635)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(1,635)</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(1,635)</w:t>
            </w: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95"/>
              </w:rPr>
              <w:t>Other comprehensive income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660" w:type="dxa"/>
            <w:vAlign w:val="bottom"/>
          </w:tcPr>
          <w:p>
            <w:pPr>
              <w:ind w:left="160"/>
              <w:spacing w:after="0"/>
              <w:rPr>
                <w:sz w:val="20"/>
                <w:szCs w:val="20"/>
                <w:color w:val="auto"/>
              </w:rPr>
            </w:pPr>
            <w:r>
              <w:rPr>
                <w:rFonts w:ascii="Arial" w:cs="Arial" w:eastAsia="Arial" w:hAnsi="Arial"/>
                <w:sz w:val="13"/>
                <w:szCs w:val="13"/>
                <w:color w:val="auto"/>
              </w:rPr>
              <w:t>(loss)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505</w:t>
            </w:r>
          </w:p>
        </w:tc>
      </w:tr>
      <w:tr>
        <w:trPr>
          <w:trHeight w:val="169"/>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Reclassification of</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35"/>
        </w:trPr>
        <w:tc>
          <w:tcPr>
            <w:tcW w:w="166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w w:val="94"/>
              </w:rPr>
              <w:t>noncontrolling interest (see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70"/>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Note 12)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2,458</w:t>
            </w: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88"/>
              </w:rPr>
              <w:t>Conversion of Class B common</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35"/>
        </w:trPr>
        <w:tc>
          <w:tcPr>
            <w:tcW w:w="1660" w:type="dxa"/>
            <w:vAlign w:val="bottom"/>
          </w:tcPr>
          <w:p>
            <w:pPr>
              <w:ind w:left="160"/>
              <w:spacing w:after="0" w:line="135" w:lineRule="exact"/>
              <w:rPr>
                <w:sz w:val="20"/>
                <w:szCs w:val="20"/>
                <w:color w:val="auto"/>
              </w:rPr>
            </w:pPr>
            <w:r>
              <w:rPr>
                <w:rFonts w:ascii="Arial" w:cs="Arial" w:eastAsia="Arial" w:hAnsi="Arial"/>
                <w:sz w:val="13"/>
                <w:szCs w:val="13"/>
                <w:color w:val="auto"/>
              </w:rPr>
              <w:t>stock to Class A common</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0"/>
        </w:trPr>
        <w:tc>
          <w:tcPr>
            <w:tcW w:w="1660" w:type="dxa"/>
            <w:vAlign w:val="bottom"/>
          </w:tcPr>
          <w:p>
            <w:pPr>
              <w:ind w:left="160"/>
              <w:spacing w:after="0"/>
              <w:rPr>
                <w:sz w:val="20"/>
                <w:szCs w:val="20"/>
                <w:color w:val="auto"/>
              </w:rPr>
            </w:pPr>
            <w:r>
              <w:rPr>
                <w:rFonts w:ascii="Arial" w:cs="Arial" w:eastAsia="Arial" w:hAnsi="Arial"/>
                <w:sz w:val="13"/>
                <w:szCs w:val="13"/>
                <w:color w:val="auto"/>
              </w:rPr>
              <w:t>stock</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5,608</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(5,608)</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21"/>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125,424</w:t>
            </w:r>
          </w:p>
        </w:tc>
        <w:tc>
          <w:tcPr>
            <w:tcW w:w="34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6,686</w:t>
            </w:r>
          </w:p>
        </w:tc>
        <w:tc>
          <w:tcPr>
            <w:tcW w:w="3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38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709,818</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(390,765)</w:t>
            </w:r>
          </w:p>
        </w:tc>
        <w:tc>
          <w:tcPr>
            <w:tcW w:w="34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316,689</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4,397</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321,086</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5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r>
      <w:tr>
        <w:trPr>
          <w:trHeight w:val="26"/>
        </w:trPr>
        <w:tc>
          <w:tcPr>
            <w:tcW w:w="8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r>
      <w:tr>
        <w:trPr>
          <w:trHeight w:val="26"/>
        </w:trPr>
        <w:tc>
          <w:tcPr>
            <w:tcW w:w="8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231F20"/>
              </w:rPr>
              <w:t>Net loss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(64,097)</w:t>
            </w:r>
          </w:p>
        </w:tc>
        <w:tc>
          <w:tcPr>
            <w:tcW w:w="104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(68,147)</w:t>
            </w:r>
          </w:p>
        </w:tc>
      </w:tr>
      <w:tr>
        <w:trPr>
          <w:trHeight w:val="26"/>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231F20"/>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16,435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17,094</w:t>
            </w:r>
          </w:p>
        </w:tc>
      </w:tr>
      <w:tr>
        <w:trPr>
          <w:trHeight w:val="26"/>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231F20"/>
              </w:rPr>
              <w:t>Unrealized (gain) loss on foreign currency</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2,811</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231F20"/>
              </w:rPr>
              <w:t>Stock based compensation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3,379</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15,224</w:t>
            </w:r>
          </w:p>
        </w:tc>
      </w:tr>
      <w:tr>
        <w:trPr>
          <w:trHeight w:val="39"/>
        </w:trPr>
        <w:tc>
          <w:tcPr>
            <w:tcW w:w="8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231F20"/>
              </w:rPr>
              <w:t>Change in fair value of warrants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198</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(3,359)</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231F20"/>
              </w:rPr>
              <w:t>Change in fair value of derivative liability</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(3,225)</w:t>
            </w:r>
          </w:p>
        </w:tc>
      </w:tr>
      <w:tr>
        <w:trPr>
          <w:trHeight w:val="26"/>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231F20"/>
              </w:rPr>
              <w:t>Amortization of debt discount and deferred issuance costs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2,915</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2,527</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auto"/>
              </w:rPr>
              <w:t>Deferred income tax</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2,088</w:t>
            </w:r>
          </w:p>
        </w:tc>
      </w:tr>
      <w:tr>
        <w:trPr>
          <w:trHeight w:val="26"/>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Provision for doubtful accounts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554</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auto"/>
              </w:rPr>
              <w:t>Loss (gain) on investment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3,590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(1,260)</w:t>
            </w:r>
          </w:p>
        </w:tc>
      </w:tr>
      <w:tr>
        <w:trPr>
          <w:trHeight w:val="26"/>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0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Gain on disposition of assets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(175)</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w:t>
            </w:r>
          </w:p>
        </w:tc>
      </w:tr>
      <w:tr>
        <w:trPr>
          <w:trHeight w:val="190"/>
        </w:trPr>
        <w:tc>
          <w:tcPr>
            <w:tcW w:w="8160" w:type="dxa"/>
            <w:vAlign w:val="bottom"/>
          </w:tcPr>
          <w:p>
            <w:pPr>
              <w:ind w:left="100"/>
              <w:spacing w:after="0"/>
              <w:rPr>
                <w:sz w:val="20"/>
                <w:szCs w:val="20"/>
                <w:color w:val="auto"/>
              </w:rPr>
            </w:pPr>
            <w:r>
              <w:rPr>
                <w:rFonts w:ascii="Arial" w:cs="Arial" w:eastAsia="Arial" w:hAnsi="Arial"/>
                <w:sz w:val="14"/>
                <w:szCs w:val="14"/>
                <w:color w:val="auto"/>
              </w:rPr>
              <w:t>Non-cash lease expense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10,173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9,727</w:t>
            </w:r>
          </w:p>
        </w:tc>
      </w:tr>
      <w:tr>
        <w:trPr>
          <w:trHeight w:val="26"/>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90"/>
        </w:trPr>
        <w:tc>
          <w:tcPr>
            <w:tcW w:w="816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45,871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51,831</w:t>
            </w:r>
          </w:p>
        </w:tc>
      </w:tr>
      <w:tr>
        <w:trPr>
          <w:trHeight w:val="26"/>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 and prepaid expenses and other assets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(3,216)</w:t>
            </w:r>
          </w:p>
        </w:tc>
      </w:tr>
      <w:tr>
        <w:trPr>
          <w:trHeight w:val="190"/>
        </w:trPr>
        <w:tc>
          <w:tcPr>
            <w:tcW w:w="816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9,889</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(1,167)</w:t>
            </w:r>
          </w:p>
        </w:tc>
      </w:tr>
      <w:tr>
        <w:trPr>
          <w:trHeight w:val="25"/>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compensation</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(11,102)</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(7,242)</w:t>
            </w:r>
          </w:p>
        </w:tc>
      </w:tr>
      <w:tr>
        <w:trPr>
          <w:trHeight w:val="191"/>
        </w:trPr>
        <w:tc>
          <w:tcPr>
            <w:tcW w:w="8160" w:type="dxa"/>
            <w:vAlign w:val="bottom"/>
          </w:tcPr>
          <w:p>
            <w:pPr>
              <w:ind w:left="180"/>
              <w:spacing w:after="0"/>
              <w:rPr>
                <w:sz w:val="20"/>
                <w:szCs w:val="20"/>
                <w:color w:val="auto"/>
              </w:rPr>
            </w:pPr>
            <w:r>
              <w:rPr>
                <w:rFonts w:ascii="Arial" w:cs="Arial" w:eastAsia="Arial" w:hAnsi="Arial"/>
                <w:sz w:val="14"/>
                <w:szCs w:val="14"/>
                <w:color w:val="231F20"/>
              </w:rPr>
              <w:t>Accrued expenses, other current liabilities and other liabilities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(11,302)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(7,733)</w:t>
            </w:r>
          </w:p>
        </w:tc>
      </w:tr>
      <w:tr>
        <w:trPr>
          <w:trHeight w:val="25"/>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231F20"/>
              </w:rPr>
              <w:t>Lease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(11,822)</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w w:val="99"/>
              </w:rPr>
              <w:t>(11,592)</w:t>
            </w:r>
          </w:p>
        </w:tc>
      </w:tr>
      <w:tr>
        <w:trPr>
          <w:trHeight w:val="190"/>
        </w:trPr>
        <w:tc>
          <w:tcPr>
            <w:tcW w:w="816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(2,488)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1,284</w:t>
            </w:r>
          </w:p>
        </w:tc>
      </w:tr>
      <w:tr>
        <w:trPr>
          <w:trHeight w:val="25"/>
        </w:trPr>
        <w:tc>
          <w:tcPr>
            <w:tcW w:w="8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used in 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(7,730)</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(3,801)</w:t>
            </w:r>
          </w:p>
        </w:tc>
      </w:tr>
      <w:tr>
        <w:trPr>
          <w:trHeight w:val="270"/>
        </w:trPr>
        <w:tc>
          <w:tcPr>
            <w:tcW w:w="8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91"/>
        </w:trPr>
        <w:tc>
          <w:tcPr>
            <w:tcW w:w="816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(2,828)</w:t>
            </w:r>
          </w:p>
        </w:tc>
      </w:tr>
      <w:tr>
        <w:trPr>
          <w:trHeight w:val="39"/>
        </w:trPr>
        <w:tc>
          <w:tcPr>
            <w:tcW w:w="8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Capitalization of internal-use software</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(6,646)</w:t>
            </w: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Proceeds from sale of asset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175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25"/>
        </w:trPr>
        <w:tc>
          <w:tcPr>
            <w:tcW w:w="8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used in investing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(7,972)</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(9,474)</w:t>
            </w:r>
          </w:p>
        </w:tc>
      </w:tr>
      <w:tr>
        <w:trPr>
          <w:trHeight w:val="270"/>
        </w:trPr>
        <w:tc>
          <w:tcPr>
            <w:tcW w:w="8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91"/>
        </w:trPr>
        <w:tc>
          <w:tcPr>
            <w:tcW w:w="816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29</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360</w:t>
            </w:r>
          </w:p>
        </w:tc>
      </w:tr>
      <w:tr>
        <w:trPr>
          <w:trHeight w:val="25"/>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for shares withheld for employee taxes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(220)</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(1,635)</w:t>
            </w: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2,128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39"/>
        </w:trPr>
        <w:tc>
          <w:tcPr>
            <w:tcW w:w="8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on Revolving Credit Facility</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(1,317)</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160" w:type="dxa"/>
            <w:vAlign w:val="bottom"/>
          </w:tcPr>
          <w:p>
            <w:pPr>
              <w:ind w:left="20"/>
              <w:spacing w:after="0"/>
              <w:rPr>
                <w:sz w:val="20"/>
                <w:szCs w:val="20"/>
                <w:color w:val="auto"/>
              </w:rPr>
            </w:pPr>
            <w:r>
              <w:rPr>
                <w:rFonts w:ascii="Arial" w:cs="Arial" w:eastAsia="Arial" w:hAnsi="Arial"/>
                <w:sz w:val="14"/>
                <w:szCs w:val="14"/>
                <w:color w:val="auto"/>
              </w:rPr>
              <w:t>Proceeds from the issuance of common stock in connection with at-the-market offering, net of issuance costs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765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reverse recapitalization costs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w:t>
            </w:r>
          </w:p>
        </w:tc>
      </w:tr>
      <w:tr>
        <w:trPr>
          <w:trHeight w:val="184"/>
        </w:trPr>
        <w:tc>
          <w:tcPr>
            <w:tcW w:w="81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Cash provided by financing activities</w:t>
            </w: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1,385</w:t>
            </w:r>
          </w:p>
        </w:tc>
        <w:tc>
          <w:tcPr>
            <w:tcW w:w="12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3,140</w:t>
            </w:r>
          </w:p>
        </w:tc>
      </w:tr>
      <w:tr>
        <w:trPr>
          <w:trHeight w:val="25"/>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currency translation on cash and cash equivalents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(1,409)</w:t>
            </w: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(14,479)</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w w:val="99"/>
              </w:rPr>
              <w:t>(11,544)</w:t>
            </w:r>
          </w:p>
        </w:tc>
      </w:tr>
      <w:tr>
        <w:trPr>
          <w:trHeight w:val="39"/>
        </w:trPr>
        <w:tc>
          <w:tcPr>
            <w:tcW w:w="8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55,774</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79,733</w:t>
            </w:r>
          </w:p>
        </w:tc>
      </w:tr>
      <w:tr>
        <w:trPr>
          <w:trHeight w:val="210"/>
        </w:trPr>
        <w:tc>
          <w:tcPr>
            <w:tcW w:w="816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41,295</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68,189</w:t>
            </w:r>
          </w:p>
        </w:tc>
      </w:tr>
      <w:tr>
        <w:trPr>
          <w:trHeight w:val="20"/>
        </w:trPr>
        <w:tc>
          <w:tcPr>
            <w:tcW w:w="8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tabular amounts and shares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BuzzFeed, Inc. (referred to herein, collectively with its subsidiaries, as “BuzzFeed” or the “Company”) is a premier digital media company for the most diverse, most online, and most socially connected generations the world has ever seen. Across food, news, pop culture and commerce, our brands drive conversation and inspire what audiences watch, read, and buy now — and into the future. The Company’s portfolio of iconic, globally-loved brands includes BuzzFeed, HuffPost, Tasty, Complex Networks, and First We Feast. BuzzFeed derives its revenue primarily from advertising, content, and commerce and other sold to leading brands. The Company has one reportable segment.</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concurrently with the closing of the Business Combination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digital media company, the Company is subject to certain inherent risks and uncertainties associated with the development of its business. To date, substantially all of the Company’s efforts have been devoted to the growth of its owned and operated properties and portfolio of brands. This includes the Company’s proprietary technology infrastructure, advertising solutions, content creation tools, and more. The Company has invested in the recruitment of key management and technical staff and has acquired certain businesses. These investments have historically been funded by raising outside capital, and as a result of these efforts, the Company has generally incurred significant losses and used net cash outflows from operations since inception — and it may continue to incur such losses and use net cash outflows for the foreseeable future until such time it reaches scale of profitability without needing to rely on funding from outside capital to sustain its operations.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execute its growth strategy, the Company has historically relied on outside capital through the issuance of equity, debt, and borrowings under financing arrangements (collectively “outside capital”). The Company may continue to rely on outside capital for the foreseeable future. While the Company believes it will eventually reach a scale of profitability to sustain its operations, there can be no assurance it will be able to achieve such profitability or do so in a manner that does not necessitate its continued reliance on outside capital.</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the condensed consolidated financial statements were issued (the “issuance date”), the presence of the following risks and uncertainties associated with the Company’s financial condition may adversely affect our ability to sustain its operations over the next 12 months beyond the issuance date.</w:t>
      </w:r>
    </w:p>
    <w:p>
      <w:pPr>
        <w:spacing w:after="0" w:line="184" w:lineRule="exact"/>
        <w:rPr>
          <w:sz w:val="20"/>
          <w:szCs w:val="20"/>
          <w:color w:val="auto"/>
        </w:rPr>
      </w:pPr>
    </w:p>
    <w:p>
      <w:pPr>
        <w:jc w:val="both"/>
        <w:ind w:left="130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its inception, the Company has generally incurred significant losses and used net cash flows from operations to grow its owned and operated properties and portfolio of brands. During the six months ended June 30, 2023, the Company incurred a net loss of $64.1 million and used net cash flows from its operations of $7.7 million. Additionally, as of June 30, 2023, the Company had unrestricted cash and cash equivalents of $41.3 million available to fund its operations, $0.2 million available under the Company’s $50.0 million revolving loan and standby letter of credit facility agreement (the “Revolving Credit Facility”) (see Note 9 herein for additional details), and an accumulated deficit of $587.0 million.</w:t>
      </w:r>
    </w:p>
    <w:p>
      <w:pPr>
        <w:spacing w:after="0" w:line="19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expects to continue to be impacted by the challenging U.S. and global macroeconomic environment, which could adversely impact its ability to grow revenue over the next 12 months beyond the issuance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300" w:hanging="644"/>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continues to be affected by its ongoing efforts to integrate Complex Networks and sales execution against the combined brand portfolio, which may result in the incurrence of unexpected expenses or the inability to realize anticipated benefits and synergies over the next 12 months beyond the issuance date.</w:t>
      </w:r>
    </w:p>
    <w:p>
      <w:pPr>
        <w:spacing w:after="0" w:line="183"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is required to remain in compliance with certain covenants required by the Revolving Credit Facility, which, among others, require it to maintain a minimum of $25.0 million of unrestricted cash at all times and limit, under prescribed circumstances, its ability to incur additional indebtedness, pay dividends, hold unpermitted investments or make material changes to the business. While the Company was in compliance with the financial covenants under the Revolving Credit Facility as of June 30, 2023, and it expects to remain in compliance throughout 12 months beyond the issuance date, the Company may be unable to remain in compliance with one or more of these covenants if it is unable to generate net cash inflows from operations or, if necessary, secure additional outside capital (including through our at-the-market-offering; see Note 11 herein for additional details). In the event the Company is unable to remain in compliance with one or more of the aforementioned covenants, and it is unable to secure a waiver or forbearance, the lender may, at its discretion, exercise any and all of its existing rights and remedies, which may include, among others, accelerating repayment of the outstanding borrowings and/or asserting its rights in the assets securing the loan.</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risks and uncertainties described above, the Company continues to carefully evaluate its liquidity position. The Company recognizes the significant challenge of maintaining sufficient liquidity to sustain its operations or remain in compliance with one or more of the covenants required by the Revolving Credit Facility for the next 12 months beyond the issuance date. However, notwithstanding its liquidity position as of the issuance date, and while it is difficult to predict its future liquidity requirements with certainty, the Company currently expects it will be able to generate sufficient liquidity to fund its operations over the next 12 months beyond the issuance date.</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response to the risks and uncertainties described above, the Company may plan to secure additional outside capital over the next 12 months beyond the issuance date. While the Company has historically been successful in its ability to secure outside capital, as of the issuance date, the Company had no firm commitments of additional outside capital other than the Company’s at-the-market-offering, which is subject to the conditions contained in the At-The-Market Offering agreement dated June 20, 2023 with Craig-Hallum Capital Group LLC (see Note 11 herein for additional details). The Company can provide no assurance it will be able to continue to secure outside capital in the future or do so on terms that are acceptable to it, which could be due to future market conditions which are outside of its control. Furthermore, the Company also plans to continue to closely monitor its cash flow forecast and, if necessary, it will implement certain incremental cost savings to preserve its liquidity beyond those that were implemented through the restructuring activities that occurred during fiscal year 2022 and 2023 (see Note 14 herein for additional details) or through the reduction of its real estate footprint. While the Company currently expects it will be able to generate sufficient liquidity to fund its operations for the next 12 months beyond the issuance date, it can provide no assurance it will successfully generate such liquidity, or if necessary, secure additional outside capital (including through our at-the-market-offering; see Note 11 herein for additional details) or implement incremental cost savings.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2020, the World Health Organization declared the viral strain of COVID-19 a global pandemic and recommended containment and mitigation measures worldwide. The spread of COVID-19 and the resulting economic contraction resulted in increased business uncertainty and significantly impacted the Company’s business and results of operations. While the extent of the impact has generally decreased, the Company continues to monitor the status, and respond to the effects of, the COVID-19 pandemic and its impact on the Company’s business. Future developments regarding COVID-19 continue to be uncertain and difficult to predict. There can be no assurances that future impacts related to COVID-19, including new variants, or other global pandemics will not adversely impact our business, results of operations, financial condition and cash flows in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and applicable rules and regulations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Securities and Exchange Commission (the “SEC”) regarding interim financial reporting. Certain information and note disclosures normally included in the financial statements prepared in accordance with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2022, as disclosed in the Company’s Annual Report on Form 10-K for the year ended December 31, 2022.</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2023.</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Key estimates and assumptions relate primarily to revenue recognition, fair values of intangible assets acquired in business combinations, valuation allowances for deferred income tax assets, allowance for doubtful accounts, fair value of the derivative liability, fair values used for stock-based compensation in periods prior to the Business Combination, useful lives of fixed assets, and capitalized software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 emerging growth company (“EGC”),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June 2016, the Financial Accounting Standards Board issued Accounting Standards Update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w:t>
      </w:r>
      <w:r>
        <w:rPr>
          <w:rFonts w:ascii="Arial" w:cs="Arial" w:eastAsia="Arial" w:hAnsi="Arial"/>
          <w:sz w:val="17"/>
          <w:szCs w:val="17"/>
          <w:color w:val="auto"/>
        </w:rPr>
        <w:t>, which changes the impairment model for most financial assets, including accounts receivable, and replaces the existing incurred loss</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model with an expected loss methodology, which will result in more timely recognition of credit losses. The guidance is effective for the Company for interim and annual periods beginning after December 15, 2022, with early adoption permitted. Effective January 1, 2023, the Company adopted this standard using a modified retrospective transition approach, which required a cumulative effect adjustment to the balance sheet as of January 1, 2023. The adoption of this standard did not have a material impact to our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both"/>
        <w:ind w:right="8800" w:firstLine="8"/>
        <w:spacing w:after="0" w:line="603" w:lineRule="auto"/>
        <w:tabs>
          <w:tab w:leader="none" w:pos="17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and Dispositions Complex Networks Acquisition</w:t>
      </w:r>
    </w:p>
    <w:p>
      <w:pPr>
        <w:spacing w:after="0" w:line="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On December 3, 2021, in conjunction with the Business Combination, the Company completed the acquisition of 100% of the members’ interests of Complex Networks, a publisher of online media content targeting Millennial and Gen Z consumers (the “Complex Networks Acquisition”).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 of consideration exchanged as a result of the Complex Networks Acquisition: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197,966</w:t>
            </w:r>
          </w:p>
        </w:tc>
        <w:tc>
          <w:tcPr>
            <w:tcW w:w="0" w:type="dxa"/>
            <w:vAlign w:val="bottom"/>
          </w:tcPr>
          <w:p>
            <w:pPr>
              <w:spacing w:after="0"/>
              <w:rPr>
                <w:sz w:val="1"/>
                <w:szCs w:val="1"/>
                <w:color w:val="auto"/>
              </w:rPr>
            </w:pPr>
          </w:p>
        </w:tc>
      </w:tr>
      <w:tr>
        <w:trPr>
          <w:trHeight w:val="257"/>
        </w:trPr>
        <w:tc>
          <w:tcPr>
            <w:tcW w:w="9740" w:type="dxa"/>
            <w:vAlign w:val="bottom"/>
          </w:tcPr>
          <w:p>
            <w:pPr>
              <w:ind w:left="20"/>
              <w:spacing w:after="0" w:line="256"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3"/>
                <w:szCs w:val="23"/>
                <w:color w:val="auto"/>
                <w:vertAlign w:val="superscript"/>
              </w:rPr>
              <w:t>(2)</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96,200</w:t>
            </w:r>
          </w:p>
        </w:tc>
        <w:tc>
          <w:tcPr>
            <w:tcW w:w="0" w:type="dxa"/>
            <w:vAlign w:val="bottom"/>
          </w:tcPr>
          <w:p>
            <w:pPr>
              <w:spacing w:after="0"/>
              <w:rPr>
                <w:sz w:val="1"/>
                <w:szCs w:val="1"/>
                <w:color w:val="auto"/>
              </w:rPr>
            </w:pPr>
          </w:p>
        </w:tc>
      </w:tr>
      <w:tr>
        <w:trPr>
          <w:trHeight w:val="28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294,166</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974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40" w:right="200" w:hanging="332"/>
        <w:spacing w:after="0" w:line="26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cash purchase price of $200.0 million adjusted for certain closing specified liabilities as specified in the Complex Networks Acquisition purchase agreement.</w:t>
      </w:r>
    </w:p>
    <w:p>
      <w:pPr>
        <w:spacing w:after="0" w:line="117"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10,000,000 shares of our Class A common stock at a price of $9.62 per share, which is based on the closing stock price of our Class A common stock on the date on which the Business Combination was consummated.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summarizes the determination of the fair value of identifiable assets acquired and liabilities assumed in connection with the Complex Networks Acquisition. During the year ended December 31, 2022, the Company finalized the fair value of assets acquired and liabilities assumed. Measurement period adjustments were reflected during the year ended December 31, 2022, which is the period in which the adjustments occurred. The adjustments resulted from new information obtained about facts and circumstances that existed as of the acquisition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Measurement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Period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6"/>
        </w:trPr>
        <w:tc>
          <w:tcPr>
            <w:tcW w:w="6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b w:val="1"/>
                <w:bCs w:val="1"/>
                <w:color w:val="auto"/>
              </w:rPr>
              <w:t>Preliminary</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Adjustments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7"/>
              </w:rPr>
              <w:t>Final</w:t>
            </w:r>
          </w:p>
        </w:tc>
      </w:tr>
      <w:tr>
        <w:trPr>
          <w:trHeight w:val="26"/>
        </w:trPr>
        <w:tc>
          <w:tcPr>
            <w:tcW w:w="6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22,592</w:t>
            </w: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6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119,100</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189,391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188,482</w:t>
            </w: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(13,122)</w:t>
            </w:r>
          </w:p>
        </w:tc>
      </w:tr>
      <w:tr>
        <w:trPr>
          <w:trHeight w:val="26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(5,903)</w:t>
            </w:r>
          </w:p>
        </w:tc>
      </w:tr>
      <w:tr>
        <w:trPr>
          <w:trHeight w:val="26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(21,642)</w:t>
            </w:r>
          </w:p>
        </w:tc>
      </w:tr>
      <w:tr>
        <w:trPr>
          <w:trHeight w:val="26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r>
      <w:tr>
        <w:trPr>
          <w:trHeight w:val="27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for Complex Networks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294,166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294,166</w:t>
            </w:r>
          </w:p>
        </w:tc>
      </w:tr>
      <w:tr>
        <w:trPr>
          <w:trHeight w:val="20"/>
        </w:trPr>
        <w:tc>
          <w:tcPr>
            <w:tcW w:w="65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87"/>
        </w:trPr>
        <w:tc>
          <w:tcPr>
            <w:tcW w:w="8040" w:type="dxa"/>
            <w:vAlign w:val="bottom"/>
            <w:gridSpan w:val="3"/>
          </w:tcPr>
          <w:p>
            <w:pPr>
              <w:ind w:left="660"/>
              <w:spacing w:after="0"/>
              <w:rPr>
                <w:sz w:val="20"/>
                <w:szCs w:val="20"/>
                <w:color w:val="auto"/>
              </w:rPr>
            </w:pPr>
            <w:r>
              <w:rPr>
                <w:rFonts w:ascii="Arial" w:cs="Arial" w:eastAsia="Arial" w:hAnsi="Arial"/>
                <w:sz w:val="18"/>
                <w:szCs w:val="18"/>
                <w:color w:val="auto"/>
                <w:w w:val="99"/>
              </w:rPr>
              <w:t>The table below indicates the estimated fair value of each of the identifiable intangible assets: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3"/>
        </w:trPr>
        <w:tc>
          <w:tcPr>
            <w:tcW w:w="6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73"/>
              <w:spacing w:after="0"/>
              <w:rPr>
                <w:sz w:val="20"/>
                <w:szCs w:val="20"/>
                <w:color w:val="auto"/>
              </w:rPr>
            </w:pPr>
            <w:r>
              <w:rPr>
                <w:rFonts w:ascii="Arial" w:cs="Arial" w:eastAsia="Arial" w:hAnsi="Arial"/>
                <w:sz w:val="14"/>
                <w:szCs w:val="14"/>
                <w:b w:val="1"/>
                <w:bCs w:val="1"/>
                <w:color w:val="auto"/>
                <w:w w:val="90"/>
              </w:rPr>
              <w:t>Weighted Average</w:t>
            </w:r>
          </w:p>
        </w:tc>
      </w:tr>
      <w:tr>
        <w:trPr>
          <w:trHeight w:val="186"/>
        </w:trPr>
        <w:tc>
          <w:tcPr>
            <w:tcW w:w="6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Asset Fair 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Useful Life (Years)</w:t>
            </w:r>
          </w:p>
        </w:tc>
      </w:tr>
      <w:tr>
        <w:trPr>
          <w:trHeight w:val="25"/>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Trademarks &amp; tradenames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97,000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231F20"/>
              </w:rPr>
              <w:t>Customer relationships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231F20"/>
              </w:rPr>
              <w:t>17,000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Developed technology</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w:t>
            </w:r>
          </w:p>
        </w:tc>
      </w:tr>
    </w:tbl>
    <w:p>
      <w:pPr>
        <w:spacing w:after="0" w:line="2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$188.5 million of goodwill, which is primarily attributed to workforce and synergies, and is not deductible for tax purposes.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reviews goodwill for impairment annually as of October 1 and more frequently if events or changes in circumstances indicate an impairment may exist (a “triggering event”). As of June 30, 2023, the Company had $91.6 million of goodwill recorded on its condensed consolidated balance sheet. During the year ended December 31, 2022, the Company recorded a $102.3 million non-cash goodwill impairment charge driven by a sustained decline in share price that pushed our market capitalization below the carrying value of our stockholders’ equity. The Company concluded there were no new impairment triggering events as of and for the three and six months ended June 30, 2023.</w:t>
      </w:r>
    </w:p>
    <w:p>
      <w:pPr>
        <w:spacing w:after="0" w:line="172" w:lineRule="exact"/>
        <w:rPr>
          <w:sz w:val="20"/>
          <w:szCs w:val="20"/>
          <w:color w:val="auto"/>
        </w:rPr>
      </w:pPr>
    </w:p>
    <w:p>
      <w:pPr>
        <w:jc w:val="both"/>
        <w:ind w:right="9420" w:firstLine="8"/>
        <w:spacing w:after="0" w:line="603" w:lineRule="auto"/>
        <w:tabs>
          <w:tab w:leader="none" w:pos="18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Disaggregated Revenue</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040" w:type="dxa"/>
            <w:vAlign w:val="bottom"/>
            <w:gridSpan w:val="5"/>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0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6"/>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35,397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69,645</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101,892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Content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72,563</w:t>
            </w:r>
          </w:p>
        </w:tc>
      </w:tr>
      <w:tr>
        <w:trPr>
          <w:trHeight w:val="27"/>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Commerce and other</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11,025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23,863</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77,901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106,760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145,054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198,318</w:t>
            </w:r>
          </w:p>
        </w:tc>
      </w:tr>
      <w:tr>
        <w:trPr>
          <w:trHeight w:val="20"/>
        </w:trPr>
        <w:tc>
          <w:tcPr>
            <w:tcW w:w="5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 disaggregated by geography: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040" w:type="dxa"/>
            <w:vAlign w:val="bottom"/>
            <w:gridSpan w:val="5"/>
          </w:tcPr>
          <w:p>
            <w:pPr>
              <w:jc w:val="right"/>
              <w:ind w:right="51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0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73,292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94,152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135,893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177,252</w:t>
            </w:r>
          </w:p>
        </w:tc>
      </w:tr>
      <w:tr>
        <w:trPr>
          <w:trHeight w:val="27"/>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21,066</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77,901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106,760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145,054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198,318</w:t>
            </w:r>
          </w:p>
        </w:tc>
      </w:tr>
      <w:tr>
        <w:trPr>
          <w:trHeight w:val="20"/>
        </w:trPr>
        <w:tc>
          <w:tcPr>
            <w:tcW w:w="5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timing of revenue recognition, billings and cash collections can result in billed accounts receivable, unbilled receivables (contract assets), and deferred revenues (contract liabilities). The payment terms and conditions within the Company’s contracts vary by type, but the substantial majority require that customers pay for their services on a monthly or quarterly basis, as the services are being provided. When the timing of revenue recognition differs from the timing of payments made by customers, the Company recognizes either unbilled revenue (performance precedes the billing date) or deferred revenue (customer payment is received in advance of performance). The Company has determined its contracts generally do not include a significant financing component.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contract assets are presented in Prepaid and other current assets on the accompanying condensed consolidated balance sheets and totaled $7.9 million and $12.1 million at June 30, 2023 and December 31, 2022, respectively. These amounts relate to revenue recognized during the respective period that is expected to be invoiced and collected in future periods.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contract liabilities, which are recorded in Deferred revenue on the accompanying condensed consolidated balance sheets, are expected to be recognized as revenues during the succeeding 12-month period. Deferred revenue totaled $6.4 million and $8.8 million at June 30, 2023 and December 31, 2022, respectively.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of revenue recognized during the six months ended June 30, 2023 that was included in the deferred revenue balance as of December 31, 2022 was $5.1 million.</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certain licensing contracts with minimum guarantees and terms extending beyond one year. Revenue to be recognized related to the remaining performance obligations was $2.8 million at June 30, 2023 and is generally expected to be recognized over the next one to four years. This amount does not include: (i) contracts with an original expected duration of one year or less, such as advertising contracts; (ii) variable consideration in the form of sales-based royalties; or (iii) variable consideration allocated entirely to wholly unperformed performance obligations.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each contract, 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financial assets and liabilities that are measured at fair value on a recurring basis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June 30, 2023</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4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4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6"/>
        </w:trPr>
        <w:tc>
          <w:tcPr>
            <w:tcW w:w="4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25,108</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25,108</w:t>
            </w:r>
          </w:p>
        </w:tc>
      </w:tr>
      <w:tr>
        <w:trPr>
          <w:trHeight w:val="237"/>
        </w:trPr>
        <w:tc>
          <w:tcPr>
            <w:tcW w:w="4980" w:type="dxa"/>
            <w:vAlign w:val="bottom"/>
          </w:tcPr>
          <w:p>
            <w:pPr>
              <w:ind w:left="1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25,108</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25,108</w:t>
            </w:r>
          </w:p>
        </w:tc>
      </w:tr>
      <w:tr>
        <w:trPr>
          <w:trHeight w:val="27"/>
        </w:trPr>
        <w:tc>
          <w:tcPr>
            <w:tcW w:w="4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100"/>
              <w:spacing w:after="0"/>
              <w:rPr>
                <w:sz w:val="20"/>
                <w:szCs w:val="20"/>
                <w:color w:val="auto"/>
              </w:rPr>
            </w:pPr>
            <w:r>
              <w:rPr>
                <w:rFonts w:ascii="Arial" w:cs="Arial" w:eastAsia="Arial" w:hAnsi="Arial"/>
                <w:sz w:val="18"/>
                <w:szCs w:val="18"/>
                <w:color w:val="auto"/>
              </w:rPr>
              <w:t>Derivative liability</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420" w:type="dxa"/>
            <w:vAlign w:val="bottom"/>
          </w:tcPr>
          <w:p>
            <w:pPr>
              <w:ind w:left="18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4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980" w:type="dxa"/>
            <w:vAlign w:val="bottom"/>
          </w:tcPr>
          <w:p>
            <w:pPr>
              <w:ind w:left="1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40" w:type="dxa"/>
            <w:vAlign w:val="bottom"/>
            <w:tcBorders>
              <w:bottom w:val="single" w:sz="8" w:color="auto"/>
            </w:tcBorders>
          </w:tcPr>
          <w:p>
            <w:pPr>
              <w:spacing w:after="0"/>
              <w:rPr>
                <w:sz w:val="23"/>
                <w:szCs w:val="23"/>
                <w:color w:val="auto"/>
              </w:rPr>
            </w:pPr>
          </w:p>
        </w:tc>
        <w:tc>
          <w:tcPr>
            <w:tcW w:w="100" w:type="dxa"/>
            <w:vAlign w:val="bottom"/>
            <w:gridSpan w:val="2"/>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r>
      <w:tr>
        <w:trPr>
          <w:trHeight w:val="20"/>
        </w:trPr>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22"/>
        </w:trPr>
        <w:tc>
          <w:tcPr>
            <w:tcW w:w="4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
        </w:trPr>
        <w:tc>
          <w:tcPr>
            <w:tcW w:w="49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4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39"/>
        </w:trPr>
        <w:tc>
          <w:tcPr>
            <w:tcW w:w="49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63"/>
        </w:trPr>
        <w:tc>
          <w:tcPr>
            <w:tcW w:w="4980" w:type="dxa"/>
            <w:vAlign w:val="bottom"/>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1,154</w:t>
            </w:r>
          </w:p>
        </w:tc>
        <w:tc>
          <w:tcPr>
            <w:tcW w:w="40" w:type="dxa"/>
            <w:vAlign w:val="bottom"/>
          </w:tcPr>
          <w:p>
            <w:pPr>
              <w:spacing w:after="0"/>
              <w:rPr>
                <w:sz w:val="22"/>
                <w:szCs w:val="22"/>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56"/>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00"/>
              <w:spacing w:after="0"/>
              <w:rPr>
                <w:sz w:val="20"/>
                <w:szCs w:val="20"/>
                <w:color w:val="auto"/>
              </w:rPr>
            </w:pPr>
            <w:r>
              <w:rPr>
                <w:rFonts w:ascii="Arial" w:cs="Arial" w:eastAsia="Arial" w:hAnsi="Arial"/>
                <w:sz w:val="18"/>
                <w:szCs w:val="18"/>
                <w:color w:val="auto"/>
              </w:rPr>
              <w:t>Derivative liability</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5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1"/>
                <w:szCs w:val="21"/>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4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4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89"/>
              </w:rPr>
              <w:t>11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4980" w:type="dxa"/>
            <w:vAlign w:val="bottom"/>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1"/>
        </w:trPr>
        <w:tc>
          <w:tcPr>
            <w:tcW w:w="4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warrant liability as of June 30, 2023 and December 31, 2022 includes public and private warrants that were originally issued by 890, but which were assumed by the Company as part of the closing of the Business Combination (the “Public Warrants” and “Private Warrants,” respectively), which are recorded on the balance sheet at fair value. The carrying amount is subject to remeasurement at each balance sheet date. With each remeasurement, the carrying</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 is adjusted to fair value, with the change in fair value recognized in the Company’s condensed consolidated statements of operations and comprehensive loss.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$0.06 and $0.04 as of June 30, 2023 and December 31, 2022, respectively.</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June 30, 2023 and December 31, 2022,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quantitative information regarding the significant unobservable inputs used by the Company related to the derivative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600" w:type="dxa"/>
            <w:vAlign w:val="bottom"/>
          </w:tcPr>
          <w:p>
            <w:pPr>
              <w:jc w:val="right"/>
              <w:ind w:right="29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35"/>
              <w:spacing w:after="0"/>
              <w:rPr>
                <w:sz w:val="20"/>
                <w:szCs w:val="20"/>
                <w:color w:val="auto"/>
              </w:rPr>
            </w:pPr>
            <w:r>
              <w:rPr>
                <w:rFonts w:ascii="Arial" w:cs="Arial" w:eastAsia="Arial" w:hAnsi="Arial"/>
                <w:sz w:val="14"/>
                <w:szCs w:val="14"/>
                <w:b w:val="1"/>
                <w:bCs w:val="1"/>
                <w:color w:val="auto"/>
                <w:w w:val="91"/>
              </w:rPr>
              <w:t>December 31, 2022</w:t>
            </w:r>
          </w:p>
        </w:tc>
      </w:tr>
      <w:tr>
        <w:trPr>
          <w:trHeight w:val="39"/>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(in years)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1600" w:type="dxa"/>
            <w:vAlign w:val="bottom"/>
          </w:tcPr>
          <w:p>
            <w:pPr>
              <w:jc w:val="right"/>
              <w:spacing w:after="0"/>
              <w:rPr>
                <w:sz w:val="20"/>
                <w:szCs w:val="20"/>
                <w:color w:val="auto"/>
              </w:rPr>
            </w:pPr>
            <w:r>
              <w:rPr>
                <w:rFonts w:ascii="Arial" w:cs="Arial" w:eastAsia="Arial" w:hAnsi="Arial"/>
                <w:sz w:val="18"/>
                <w:szCs w:val="18"/>
                <w:color w:val="auto"/>
              </w:rPr>
              <w:t>4.41 %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4.11 %</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76.6 %</w:t>
            </w:r>
          </w:p>
        </w:tc>
      </w:tr>
      <w:tr>
        <w:trPr>
          <w:trHeight w:val="513"/>
        </w:trPr>
        <w:tc>
          <w:tcPr>
            <w:tcW w:w="7940" w:type="dxa"/>
            <w:vAlign w:val="bottom"/>
          </w:tcPr>
          <w:p>
            <w:pPr>
              <w:ind w:left="660"/>
              <w:spacing w:after="0"/>
              <w:rPr>
                <w:sz w:val="20"/>
                <w:szCs w:val="20"/>
                <w:color w:val="auto"/>
              </w:rPr>
            </w:pPr>
            <w:r>
              <w:rPr>
                <w:rFonts w:ascii="Arial" w:cs="Arial" w:eastAsia="Arial" w:hAnsi="Arial"/>
                <w:sz w:val="18"/>
                <w:szCs w:val="18"/>
                <w:color w:val="auto"/>
              </w:rPr>
              <w:t>The following table represents the activity of the Level 3 instruments: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3"/>
        </w:trPr>
        <w:tc>
          <w:tcPr>
            <w:tcW w:w="7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w w:val="98"/>
              </w:rPr>
              <w:t>Derivative Liability</w:t>
            </w:r>
          </w:p>
        </w:tc>
      </w:tr>
      <w:tr>
        <w:trPr>
          <w:trHeight w:val="39"/>
        </w:trPr>
        <w:tc>
          <w:tcPr>
            <w:tcW w:w="79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64"/>
        </w:trPr>
        <w:tc>
          <w:tcPr>
            <w:tcW w:w="794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9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60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fair value measurement levels during the three and six months ended June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June 30, 2023 and December 31, 2022, the Company had an investment in equity securities of a privately-held company without a readily determinable fair value. During the second quarter of 2023, the aforementioned private company underwent a recapitalization, and the Company received approximately 6,000 shares of common stock in a non-monetary transaction, valued at $nil. Prior to the recapitalization, the carrying value of the investment was $3.6 million, so the difference between the carrying value and fair value was recorded as loss on investment within Other expense, net within our condensed consolidated statement of operations. The total carrying value of the investment, included in Prepaid and other assets on the condensed consolidated balance sheets, was $nil and $3.6 million as of June 30, 2023 and December 31, 2022,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December 31, 2022</w:t>
            </w:r>
          </w:p>
        </w:tc>
      </w:tr>
      <w:tr>
        <w:trPr>
          <w:trHeight w:val="39"/>
        </w:trPr>
        <w:tc>
          <w:tcPr>
            <w:tcW w:w="8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50,688</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6,069</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Video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63,178</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(45,404)</w:t>
            </w:r>
          </w:p>
        </w:tc>
      </w:tr>
      <w:tr>
        <w:trPr>
          <w:trHeight w:val="27"/>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Value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totaled $1.7 million and $2.6 million for the three months ended June 30, 2023 and 2022, respectively, and $3.4 million and $5.0 million for the six months ended June 30, 2023 and 2022, respectively, included in Depreciation and amortization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Capitalized Software Costs,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software costs, net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December 31, 2022</w:t>
            </w:r>
          </w:p>
        </w:tc>
      </w:tr>
      <w:tr>
        <w:trPr>
          <w:trHeight w:val="39"/>
        </w:trPr>
        <w:tc>
          <w:tcPr>
            <w:tcW w:w="8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Website and internal-use software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555"/>
              <w:spacing w:after="0"/>
              <w:rPr>
                <w:sz w:val="20"/>
                <w:szCs w:val="20"/>
                <w:color w:val="auto"/>
              </w:rPr>
            </w:pPr>
            <w:r>
              <w:rPr>
                <w:rFonts w:ascii="Arial" w:cs="Arial" w:eastAsia="Arial" w:hAnsi="Arial"/>
                <w:sz w:val="18"/>
                <w:szCs w:val="18"/>
                <w:color w:val="auto"/>
                <w:w w:val="90"/>
              </w:rPr>
              <w:t>83,546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center"/>
              <w:ind w:left="635"/>
              <w:spacing w:after="0"/>
              <w:rPr>
                <w:sz w:val="20"/>
                <w:szCs w:val="20"/>
                <w:color w:val="auto"/>
              </w:rPr>
            </w:pPr>
            <w:r>
              <w:rPr>
                <w:rFonts w:ascii="Arial" w:cs="Arial" w:eastAsia="Arial" w:hAnsi="Arial"/>
                <w:sz w:val="18"/>
                <w:szCs w:val="18"/>
                <w:color w:val="auto"/>
                <w:w w:val="87"/>
              </w:rPr>
              <w:t>75,871</w:t>
            </w: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2"/>
              </w:rPr>
              <w:t>(62,037)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left="615"/>
              <w:spacing w:after="0"/>
              <w:rPr>
                <w:sz w:val="20"/>
                <w:szCs w:val="20"/>
                <w:color w:val="auto"/>
              </w:rPr>
            </w:pPr>
            <w:r>
              <w:rPr>
                <w:rFonts w:ascii="Arial" w:cs="Arial" w:eastAsia="Arial" w:hAnsi="Arial"/>
                <w:sz w:val="18"/>
                <w:szCs w:val="18"/>
                <w:color w:val="auto"/>
                <w:w w:val="92"/>
              </w:rPr>
              <w:t>(56,612)</w:t>
            </w:r>
          </w:p>
        </w:tc>
      </w:tr>
      <w:tr>
        <w:trPr>
          <w:trHeight w:val="29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Value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90"/>
              </w:rPr>
              <w:t>21,509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w w:val="87"/>
              </w:rPr>
              <w:t>19,259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capitalized $3.7 million and $3.1 million for the three months ended June 30, 2023 and 2022, respectively, and $7.7 million and $6.6 million for the six months ended June 30, 2023 and 2022, respectively, included in Capitalized software costs. The Company amortized $2.5 million and $2.3 million for the three months ended June 30, 2023 and 2022, respectively, and $5.4 million and $4.5 million for the six months ended June 30, 2023 and 2022, respectively, included in Depreciation and amortization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intangible assets for the periods presented and the weighted average remaining useful lives: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9"/>
        </w:trPr>
        <w:tc>
          <w:tcPr>
            <w:tcW w:w="25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60"/>
        </w:trPr>
        <w:tc>
          <w:tcPr>
            <w:tcW w:w="250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5"/>
        </w:trPr>
        <w:tc>
          <w:tcPr>
            <w:tcW w:w="25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Net Carrying</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Net Carrying</w:t>
            </w:r>
          </w:p>
        </w:tc>
      </w:tr>
      <w:tr>
        <w:trPr>
          <w:trHeight w:val="186"/>
        </w:trPr>
        <w:tc>
          <w:tcPr>
            <w:tcW w:w="25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r>
      <w:tr>
        <w:trPr>
          <w:trHeight w:val="25"/>
        </w:trPr>
        <w:tc>
          <w:tcPr>
            <w:tcW w:w="2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Technology</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7,046</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5,279</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5,321</w:t>
            </w:r>
          </w:p>
        </w:tc>
      </w:tr>
      <w:tr>
        <w:trPr>
          <w:trHeight w:val="191"/>
        </w:trPr>
        <w:tc>
          <w:tcPr>
            <w:tcW w:w="2500" w:type="dxa"/>
            <w:vAlign w:val="bottom"/>
          </w:tcPr>
          <w:p>
            <w:pPr>
              <w:ind w:left="20"/>
              <w:spacing w:after="0"/>
              <w:rPr>
                <w:sz w:val="20"/>
                <w:szCs w:val="20"/>
                <w:color w:val="auto"/>
              </w:rPr>
            </w:pPr>
            <w:r>
              <w:rPr>
                <w:rFonts w:ascii="Arial" w:cs="Arial" w:eastAsia="Arial" w:hAnsi="Arial"/>
                <w:sz w:val="14"/>
                <w:szCs w:val="14"/>
                <w:color w:val="auto"/>
              </w:rPr>
              <w:t>Trademarks and Trade Names</w:t>
            </w: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98,544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102,244</w:t>
            </w:r>
          </w:p>
        </w:tc>
      </w:tr>
      <w:tr>
        <w:trPr>
          <w:trHeight w:val="39"/>
        </w:trPr>
        <w:tc>
          <w:tcPr>
            <w:tcW w:w="2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Trademarks and Trade Names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Indefinite</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Indefinite</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r>
      <w:tr>
        <w:trPr>
          <w:trHeight w:val="190"/>
        </w:trPr>
        <w:tc>
          <w:tcPr>
            <w:tcW w:w="250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10,271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12,396</w:t>
            </w:r>
          </w:p>
        </w:tc>
      </w:tr>
      <w:tr>
        <w:trPr>
          <w:trHeight w:val="39"/>
        </w:trPr>
        <w:tc>
          <w:tcPr>
            <w:tcW w:w="25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139,968</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113,737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139,968</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18,639</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121,329</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intangible assets, the Company amortized $3.8 million for the three months ended June 30, 2023 and 2022, and $7.6 million and for the six months ended June 30, 2023 and 2022, included in Depreciation and amortization expense.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660"/>
              <w:spacing w:after="0"/>
              <w:rPr>
                <w:sz w:val="20"/>
                <w:szCs w:val="20"/>
                <w:color w:val="auto"/>
              </w:rPr>
            </w:pPr>
            <w:r>
              <w:rPr>
                <w:rFonts w:ascii="Arial" w:cs="Arial" w:eastAsia="Arial" w:hAnsi="Arial"/>
                <w:sz w:val="18"/>
                <w:szCs w:val="18"/>
                <w:color w:val="auto"/>
              </w:rPr>
              <w:t>Estimated future amortization expense as of June 30, 2023 is as follows (in thousands):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9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13,438</w:t>
            </w:r>
          </w:p>
        </w:tc>
      </w:tr>
      <w:tr>
        <w:trPr>
          <w:trHeight w:val="27"/>
        </w:trPr>
        <w:tc>
          <w:tcPr>
            <w:tcW w:w="9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11,296</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7,400</w:t>
            </w:r>
          </w:p>
        </w:tc>
      </w:tr>
      <w:tr>
        <w:trPr>
          <w:trHeight w:val="27"/>
        </w:trPr>
        <w:tc>
          <w:tcPr>
            <w:tcW w:w="9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65,243</w:t>
            </w:r>
          </w:p>
        </w:tc>
      </w:tr>
      <w:tr>
        <w:trPr>
          <w:trHeight w:val="27"/>
        </w:trPr>
        <w:tc>
          <w:tcPr>
            <w:tcW w:w="9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112,369</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December 30, 2020, the Company entered into a three-year, $50.0 million, revolving loan and standby letter of credit facility agreement (i.e., the Revolving Credit Facility).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$15.5 million of standby letters of credit were issued during the three months ended March 31, 2021 in favor of certain of the Company’s landlords. The Revolving Credit Facility was amended and restated in connection with the closing of the Business Combination to, among other things, add the Company and 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The Company incurred $0.2 million of debt issuance fees associated with the December 15, 2022 amendment. On May 10, 2023, the parties to the Revolving Credit Facility entered into a joinder agreement adding one of the Company’s Canadian subsidiaries as a borrower under the Revolving Credit Facility, granting the lenders under the Revolving Credit Facility a lien on that subsidiary’s collateral, and including that subsidiary's receivables in the calculation of the borrowing base under the Revolving Credit Facility. On June 29, 2023, the Revolving Credit Facility was amended to provide for, among other things: (i) permitted overadvances during the period June 29, 2023 through August 31, 2023; (ii) permitted overadvances of up to $7.4 million; (iii) an increase in the applicable margin only during the overadvance period (ranging from 4.5% to 5% depending on the utilization of the facility, with the range reverting to 3.75% to 4.25% starting September 1, 2023); and (iv) a change in the definition of the term “SOFR Index.” The Company incurred $0.2 million of debt issuance fees associated with the June 29, 2023 amendment.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Revolving Credit Facility includes covenants that, among other things, require the Company to maintain at least $25.0 million of unrestricted cash at all times and limit, under prescribed circumstances, the ability of the Company to incur additional indebtedness, pay dividends, hold unpermitted investments, or make material changes to the business. The Company was in compliance with the financial covenants under such facility as of June 30, 2023.</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Borrowings under the Revolving Credit Facility bear interest at the greater of a floor rate of 0.75% or the sum of the rate per annum for the forward-looking term rate for SOFR for a term of one (1) month, plus a margin, which, during the overadvance period ending August 31, 2023, ranges from 4.5% to 5% depending on the utilization of the facility, with the range reverting to 3.75% to 4.25% on September 1, 2023, depending on the level of the Company’s utilization of the facility (the interest rate was approximately 9% at June 30, 2023), and subject to a monthly minimum utilization of $15.0 million. The facility also includes an unused commitment fee of 0.375%.</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outstanding borrowings of $34.3 million and $33.5 million at June 30, 2023 and December 31, 2022, respectively. The Company had outstanding letters of credit of $15.5 million under the Revolving Credit Facility at June 30, 2023 and December 31, 2022, and the total unused borrowing capacity was $0.2 million and $1.0 million as of June 30, 2023 and December 31, 2022, respectively.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is secured by a first priority security interest on the Company’s and the other borrowers’ and guarantors’ cash, accounts receivable, books and records, and related assets.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2023 and December 31, 2022, the Company had $0.5 million and $0.4 million, of costs in connection with the issuance of debt included in Prepaid and other assets in the condensed consolidated balance sheet,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June 2021, in connection with the entry into the merger agreement pursuant to which Business Combination was consummated, the Company entered into subscription agreements with certain investors to sell $150.0 million aggregate principal amount of unsecured convertible notes due 2026 (i.e., the Notes). In connection with closing of the the Business Combination, the Company issued, and those investors purchased, the Notes. The Notes bear interest at a rate of 8.50% per annum, payable semi-annually, are convertible into approximately 12,000,000 shares of our Class A common stock (or, at the Company’s election, a combination of cash and our Class A common stock), at an initial conversion price of $12.50, and mature on December 3, 2026.</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may, at its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after the one year anniversary, and prior to the three-year anniversary, of the issuance of the Notes (i.e., between December 3, 2022 and December 3, 2024), the Company will be obligated to pay an amount in cash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holder of a Note will have the right to cause the Company to repurchase for cash all or a portion of the Notes held by such holder (i) at any time after the third anniversary of the date on which the Business Combination was consummated, at a price equal to par plus accrued and unpaid interest; or (ii) at any time upon the occurrence of a fundamental change (as defined in the indenture governing the Notes), at a price equal to 101% of par plus accrued and unpaid interest.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condensed consolidated statements of operations.</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expense on the Notes is recognized at an effective interest rate of 15% and totaled $4.8 million and $4.6 million for the three months ended June 30, 2023 and 2022, respectively, and $9.3 million and $8.9 million for the six months ended June 30, 2023 and 2022, respectively, of which amortization of the debt discount and issuance costs comprised $1.6 million and $1.4 million for the three months ended June 30, 2023 and 2022, respectively, and $3.0 million and $2.5 million for the six months ended June 30, 2023 and 2022,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carrying amount of the Notes as of June 30, 2023 and December 31, 2022 was: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December 31, 2022</w:t>
            </w:r>
          </w:p>
        </w:tc>
      </w:tr>
      <w:tr>
        <w:trPr>
          <w:trHeight w:val="39"/>
        </w:trPr>
        <w:tc>
          <w:tcPr>
            <w:tcW w:w="8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outstanding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5"/>
              </w:rPr>
              <w:t>150,000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8"/>
              </w:rPr>
              <w:t>150,000</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Pr>
          <w:p>
            <w:pPr>
              <w:spacing w:after="0"/>
              <w:rPr>
                <w:sz w:val="21"/>
                <w:szCs w:val="21"/>
                <w:color w:val="auto"/>
              </w:rPr>
            </w:pPr>
          </w:p>
        </w:tc>
        <w:tc>
          <w:tcPr>
            <w:tcW w:w="1260" w:type="dxa"/>
            <w:vAlign w:val="bottom"/>
          </w:tcPr>
          <w:p>
            <w:pPr>
              <w:ind w:left="620"/>
              <w:spacing w:after="0"/>
              <w:rPr>
                <w:sz w:val="20"/>
                <w:szCs w:val="20"/>
                <w:color w:val="auto"/>
              </w:rPr>
            </w:pPr>
            <w:r>
              <w:rPr>
                <w:rFonts w:ascii="Arial" w:cs="Arial" w:eastAsia="Arial" w:hAnsi="Arial"/>
                <w:sz w:val="18"/>
                <w:szCs w:val="18"/>
                <w:color w:val="auto"/>
                <w:w w:val="92"/>
              </w:rPr>
              <w:t>(28,337)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w w:val="92"/>
              </w:rPr>
              <w:t>(31,252)</w:t>
            </w:r>
          </w:p>
        </w:tc>
      </w:tr>
      <w:tr>
        <w:trPr>
          <w:trHeight w:val="27"/>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value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121,663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118,748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Notes was approximately $104.4 million and $99.8 million as of June 30, 2023 and December 31, 2022, respectively. The fair value of the Notes was estimated using Level 3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Noncontrolling Interest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redeemable noncontrolling interest represented BuzzFeed Japan, which was held by Yahoo Japan. On May 17, 2022, Yahoo Japan transferred its interests in BuzzFeed Japan to other third parties. The agreements with the third parties do not contain any put rights. As such, on May 17, 2022, the Company reclassified the former redeemable noncontrolling interest to nonredeemable noncontrolling interest that is presented within Stockholders’ equity permanent equity on the Company’s condensed consolidated balance sheet, with no adjustment to the prior periods presented.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reconciliation of changes in redeemable noncontrolling interest: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060" w:type="dxa"/>
            <w:vAlign w:val="bottom"/>
          </w:tcPr>
          <w:p>
            <w:pPr>
              <w:jc w:val="right"/>
              <w:ind w:right="75"/>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9"/>
        </w:trPr>
        <w:tc>
          <w:tcPr>
            <w:tcW w:w="81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color w:val="auto"/>
              </w:rPr>
              <w:t>Allocation of net income</w:t>
            </w:r>
          </w:p>
        </w:tc>
        <w:tc>
          <w:tcPr>
            <w:tcW w:w="10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160" w:type="dxa"/>
            <w:vAlign w:val="bottom"/>
          </w:tcPr>
          <w:p>
            <w:pPr>
              <w:ind w:left="20"/>
              <w:spacing w:after="0"/>
              <w:rPr>
                <w:sz w:val="20"/>
                <w:szCs w:val="20"/>
                <w:color w:val="auto"/>
              </w:rPr>
            </w:pPr>
            <w:r>
              <w:rPr>
                <w:rFonts w:ascii="Arial" w:cs="Arial" w:eastAsia="Arial" w:hAnsi="Arial"/>
                <w:sz w:val="18"/>
                <w:szCs w:val="18"/>
                <w:color w:val="auto"/>
              </w:rPr>
              <w:t>Allocation of net (income) loss</w:t>
            </w:r>
          </w:p>
        </w:tc>
        <w:tc>
          <w:tcPr>
            <w:tcW w:w="1060" w:type="dxa"/>
            <w:vAlign w:val="bottom"/>
          </w:tcPr>
          <w:p>
            <w:pPr>
              <w:spacing w:after="0"/>
              <w:rPr>
                <w:sz w:val="18"/>
                <w:szCs w:val="18"/>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to permanent equity</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64"/>
        </w:trPr>
        <w:tc>
          <w:tcPr>
            <w:tcW w:w="8160" w:type="dxa"/>
            <w:vAlign w:val="bottom"/>
          </w:tcPr>
          <w:p>
            <w:pPr>
              <w:ind w:left="20"/>
              <w:spacing w:after="0"/>
              <w:rPr>
                <w:sz w:val="20"/>
                <w:szCs w:val="20"/>
                <w:color w:val="auto"/>
              </w:rPr>
            </w:pPr>
            <w:r>
              <w:rPr>
                <w:rFonts w:ascii="Arial" w:cs="Arial" w:eastAsia="Arial" w:hAnsi="Arial"/>
                <w:sz w:val="18"/>
                <w:szCs w:val="18"/>
                <w:color w:val="auto"/>
              </w:rPr>
              <w:t>Balance as of June 30,</w:t>
            </w:r>
          </w:p>
        </w:tc>
        <w:tc>
          <w:tcPr>
            <w:tcW w:w="106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9360" w:firstLine="8"/>
        <w:spacing w:after="0" w:line="532" w:lineRule="auto"/>
        <w:tabs>
          <w:tab w:leader="none" w:pos="2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closing of the Business Combination, the Company authorized the issuance of 50,000,000 shares of preferred stock, par value $0.0001 per share. The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June 30, 2023 or December 31,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stock option activity under the Company’s equity incentive plans is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4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16"/>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Aggregate</w:t>
            </w:r>
          </w:p>
        </w:tc>
      </w:tr>
      <w:tr>
        <w:trPr>
          <w:trHeight w:val="176"/>
        </w:trPr>
        <w:tc>
          <w:tcPr>
            <w:tcW w:w="4960" w:type="dxa"/>
            <w:vAlign w:val="bottom"/>
          </w:tcPr>
          <w:p>
            <w:pPr>
              <w:spacing w:after="0"/>
              <w:rPr>
                <w:sz w:val="15"/>
                <w:szCs w:val="15"/>
                <w:color w:val="auto"/>
              </w:rPr>
            </w:pPr>
          </w:p>
        </w:tc>
        <w:tc>
          <w:tcPr>
            <w:tcW w:w="1480" w:type="dxa"/>
            <w:vAlign w:val="bottom"/>
          </w:tcPr>
          <w:p>
            <w:pPr>
              <w:jc w:val="right"/>
              <w:ind w:right="31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95"/>
              <w:spacing w:after="0"/>
              <w:rPr>
                <w:sz w:val="20"/>
                <w:szCs w:val="20"/>
                <w:color w:val="auto"/>
              </w:rPr>
            </w:pPr>
            <w:r>
              <w:rPr>
                <w:rFonts w:ascii="Arial" w:cs="Arial" w:eastAsia="Arial" w:hAnsi="Arial"/>
                <w:sz w:val="14"/>
                <w:szCs w:val="14"/>
                <w:b w:val="1"/>
                <w:bCs w:val="1"/>
                <w:color w:val="auto"/>
                <w:w w:val="99"/>
              </w:rPr>
              <w:t>Intrinsic</w:t>
            </w:r>
          </w:p>
        </w:tc>
      </w:tr>
      <w:tr>
        <w:trPr>
          <w:trHeight w:val="186"/>
        </w:trPr>
        <w:tc>
          <w:tcPr>
            <w:tcW w:w="4960" w:type="dxa"/>
            <w:vAlign w:val="bottom"/>
          </w:tcPr>
          <w:p>
            <w:pPr>
              <w:spacing w:after="0"/>
              <w:rPr>
                <w:sz w:val="16"/>
                <w:szCs w:val="16"/>
                <w:color w:val="auto"/>
              </w:rPr>
            </w:pPr>
          </w:p>
        </w:tc>
        <w:tc>
          <w:tcPr>
            <w:tcW w:w="1480" w:type="dxa"/>
            <w:vAlign w:val="bottom"/>
          </w:tcPr>
          <w:p>
            <w:pPr>
              <w:jc w:val="right"/>
              <w:ind w:right="43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6"/>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Value</w:t>
            </w:r>
          </w:p>
        </w:tc>
      </w:tr>
      <w:tr>
        <w:trPr>
          <w:trHeight w:val="39"/>
        </w:trPr>
        <w:tc>
          <w:tcPr>
            <w:tcW w:w="496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0" w:type="dxa"/>
            <w:vAlign w:val="bottom"/>
            <w:tcBorders>
              <w:bottom w:val="single" w:sz="8" w:color="CCEEFF"/>
            </w:tcBorders>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1"/>
              </w:rPr>
              <w:t>3.80</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center"/>
              <w:ind w:left="107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ind w:left="107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500" w:type="dxa"/>
            <w:vAlign w:val="bottom"/>
          </w:tcPr>
          <w:p>
            <w:pPr>
              <w:jc w:val="center"/>
              <w:ind w:left="107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center"/>
              <w:ind w:left="107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center"/>
              <w:ind w:left="1057"/>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to vest at June 30,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0" w:type="dxa"/>
            <w:vAlign w:val="bottom"/>
            <w:tcBorders>
              <w:bottom w:val="single" w:sz="8" w:color="CCEEFF"/>
            </w:tcBorders>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1"/>
              </w:rPr>
              <w:t>3.11</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Exercisable at June 30, 2023</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center"/>
              <w:ind w:left="1057"/>
              <w:spacing w:after="0"/>
              <w:rPr>
                <w:sz w:val="20"/>
                <w:szCs w:val="20"/>
                <w:color w:val="auto"/>
              </w:rPr>
            </w:pPr>
            <w:r>
              <w:rPr>
                <w:rFonts w:ascii="Arial" w:cs="Arial" w:eastAsia="Arial" w:hAnsi="Arial"/>
                <w:sz w:val="18"/>
                <w:szCs w:val="18"/>
                <w:color w:val="auto"/>
                <w:w w:val="91"/>
              </w:rPr>
              <w:t>2.28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2023, the total share-based compensation costs not yet recognized related to unvested stock options was $1.0 million, which is expected to be recognized over the weighted-average remaining requisite service period of 1.2 years.</w:t>
      </w:r>
    </w:p>
    <w:p>
      <w:pPr>
        <w:sectPr>
          <w:pgSz w:w="11900" w:h="16838" w:orient="portrait"/>
          <w:cols w:equalWidth="0" w:num="1">
            <w:col w:w="11240"/>
          </w:cols>
          <w:pgMar w:left="320" w:top="517"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A summary of Restricted Stock Unit (“RSU”) activity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as of December 31, 2022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Weighted Average</w:t>
            </w:r>
          </w:p>
        </w:tc>
      </w:tr>
      <w:tr>
        <w:trPr>
          <w:trHeight w:val="175"/>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Grant-</w:t>
            </w:r>
          </w:p>
        </w:tc>
      </w:tr>
      <w:tr>
        <w:trPr>
          <w:trHeight w:val="186"/>
        </w:trPr>
        <w:tc>
          <w:tcPr>
            <w:tcW w:w="1480" w:type="dxa"/>
            <w:vAlign w:val="bottom"/>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Date Fair Value</w:t>
            </w:r>
          </w:p>
        </w:tc>
      </w:tr>
      <w:tr>
        <w:trPr>
          <w:trHeight w:val="39"/>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7"/>
        </w:trPr>
        <w:tc>
          <w:tcPr>
            <w:tcW w:w="1480" w:type="dxa"/>
            <w:vAlign w:val="bottom"/>
          </w:tcPr>
          <w:p>
            <w:pPr>
              <w:jc w:val="right"/>
              <w:spacing w:after="0"/>
              <w:rPr>
                <w:sz w:val="20"/>
                <w:szCs w:val="20"/>
                <w:color w:val="auto"/>
              </w:rPr>
            </w:pPr>
            <w:r>
              <w:rPr>
                <w:rFonts w:ascii="Arial" w:cs="Arial" w:eastAsia="Arial" w:hAnsi="Arial"/>
                <w:sz w:val="18"/>
                <w:szCs w:val="18"/>
                <w:color w:val="auto"/>
              </w:rPr>
              <w:t>7,495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8,819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jc w:val="right"/>
              <w:spacing w:after="0"/>
              <w:rPr>
                <w:sz w:val="20"/>
                <w:szCs w:val="20"/>
                <w:color w:val="auto"/>
              </w:rPr>
            </w:pPr>
            <w:r>
              <w:rPr>
                <w:rFonts w:ascii="Arial" w:cs="Arial" w:eastAsia="Arial" w:hAnsi="Arial"/>
                <w:sz w:val="18"/>
                <w:szCs w:val="18"/>
                <w:color w:val="auto"/>
              </w:rPr>
              <w:t>12,998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517" w:right="339" w:bottom="1440" w:gutter="0" w:footer="0" w:header="0"/>
          <w:type w:val="continuous"/>
        </w:sectPr>
      </w:pPr>
    </w:p>
    <w:p>
      <w:pPr>
        <w:spacing w:after="0" w:line="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2023, there were approximately $12.6 million of unrecognized compensation costs related to RSUs.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cost included in the condensed consolidated statements of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4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0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2,113</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1,612</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r>
      <w:tr>
        <w:trPr>
          <w:trHeight w:val="28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2,257</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11,284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 The negative stock-based compensation expense for the six months ended June 30, 2023 for Research and development was due to forfeitures.</w:t>
      </w:r>
    </w:p>
    <w:p>
      <w:pPr>
        <w:spacing w:after="0" w:line="2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21, 2023, the Company filed a shelf registration statement on Form S-3 (the “Shelf Registration Statement”) under which the Company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may, from time to time, sell up to 13,266,011 shares of its Class A common stock. As of June 30, 2023, the Company sold 1,715,617 shares of its Class A common stock, at an average price of $0.52 per share, for aggregate net proceeds of $0.8 million after deducting commissions and offering expenses. The Company used the aggregate net proceeds for general corporate purposes, and the Company has 11,550,394 remaining shares available under the At-The-Market-Offering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loss per share is computed using the two-class method. Basic net loss per share is computed using the weighted average number of shares of common stock outstanding for the period. Diluted net loss per share reflects the effect of the assumed exercise of any stock options, the vesting of any restricted stock units, the exercise of any warrants (including the Public Warrants and the Private Warrants), the conversion of any convertible debt (including the Notes), and the conversion of any convertible preferred stock, in each case only in the periods in which such effect would have been dilutive.</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three and six months ended June 30, 2023, net loss per share amounts were the same for Class A and Class B common stock because the holders of each class are entitled to equal per share dividends. For the three and six months ended June 30, 2022, net loss per share amounts were the same for Class A, Class B, and Class C common stock because the holders of each class are entitled to equal per share dividends.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computation of basic and diluted net loss per share: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(27,836)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(23,581)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(64,097)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(68,147)</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Net income attributable to the redeemable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Net loss attributable to holders of Class A, Class B, and Class 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(68,659)</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4"/>
              </w:rPr>
              <w:t>Weighted average common shares outstanding, basic and diluted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141,950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136,906</w:t>
            </w:r>
          </w:p>
        </w:tc>
      </w:tr>
      <w:tr>
        <w:trPr>
          <w:trHeight w:val="264"/>
        </w:trPr>
        <w:tc>
          <w:tcPr>
            <w:tcW w:w="5040" w:type="dxa"/>
            <w:vAlign w:val="bottom"/>
          </w:tcPr>
          <w:p>
            <w:pPr>
              <w:ind w:left="100"/>
              <w:spacing w:after="0"/>
              <w:rPr>
                <w:sz w:val="20"/>
                <w:szCs w:val="20"/>
                <w:color w:val="auto"/>
              </w:rPr>
            </w:pPr>
            <w:r>
              <w:rPr>
                <w:rFonts w:ascii="Arial" w:cs="Arial" w:eastAsia="Arial" w:hAnsi="Arial"/>
                <w:sz w:val="18"/>
                <w:szCs w:val="18"/>
                <w:color w:val="auto"/>
              </w:rPr>
              <w:t>Net loss per common share, basic and diluted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the details of securities that were excluded from the calculation of diluted net income (loss) per share as the effect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4"/>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5960" w:type="dxa"/>
            <w:vAlign w:val="bottom"/>
            <w:gridSpan w:val="2"/>
          </w:tcPr>
          <w:p>
            <w:pPr>
              <w:ind w:left="5620"/>
              <w:spacing w:after="0"/>
              <w:rPr>
                <w:sz w:val="20"/>
                <w:szCs w:val="20"/>
                <w:color w:val="auto"/>
              </w:rPr>
            </w:pPr>
            <w:r>
              <w:rPr>
                <w:rFonts w:ascii="Arial" w:cs="Arial" w:eastAsia="Arial" w:hAnsi="Arial"/>
                <w:sz w:val="14"/>
                <w:szCs w:val="14"/>
                <w:b w:val="1"/>
                <w:bCs w:val="1"/>
                <w:color w:val="auto"/>
              </w:rPr>
              <w:t>2023</w:t>
            </w: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58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4,235</w:t>
            </w:r>
          </w:p>
        </w:tc>
      </w:tr>
      <w:tr>
        <w:trPr>
          <w:trHeight w:val="24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12,998</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5,958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12,998</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3,546</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9,876</w:t>
            </w:r>
          </w:p>
        </w:tc>
      </w:tr>
      <w:tr>
        <w:trPr>
          <w:trHeight w:val="24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12,000</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the calculation of diluted loss per share excluded 2.4 million RSUs for the six months ended June 30, 2022, for which the related liquidity condition had not been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47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474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25"/>
        </w:trPr>
        <w:tc>
          <w:tcPr>
            <w:tcW w:w="4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104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1,796</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110</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2,146</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2023 and 2022,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20, 2023, the Company announced plans to reduce expenses by implementing an approximately 15% reduction in the current workforce. The reduction in workforce plan is part of a broader strategic reprioritization across the Company in order to accelerate revenue growth and improve upon profitability and cash flow. The Company incurred approximately $9.7 million of restructuring costs for the three months ended June 30, 2023, comprised mainly of severance and related benefit costs, of which $5.5 million were included in Cost of revenue, excluding depreciation and amortization, $2.8 million were included in Sales and marketing, $0.6 million were included in General and administrative, and $0.8 million were included in Research and development. As of June 30, 2023, $3.4 million of restructuring costs remain unpaid and are included in Accrued compensation on the condensed consolidated balance sheet. These costs are expected to be paid primarily in the third quarter of 2023.</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March 2022, in connection with the acquisition of Complex Networks, the Company approved certain organizational changes to align sales and marketing and general and administrative functions as well as changes in content to better serve audience demands. Additionally, in June 2022, as part of a strategic repositioning of BuzzFeed News, the Company entered into a voluntary buyout proposal covering certain desks which was negotiated as part of collective bargaining between the Company and the BuzzFeed News Union. The Company incurred approximately $3.5 million and $5.3 million of restructuring costs for the three and six months ended June 30, 2022, respectively, comprised mainly of severance and related benefit costs. For the three months ended June 30, 2022, $3.1 million were included in Cost of revenue, excluding depreciation and amortization, $0.1 million were included in Sales and marketing, $0.2 million were included in General and administrative, and $0.1 million were included in Research and development. For the six months ended June 30, 2022, approximately $4.4 million were included in Cost of revenue, excluding depreciation and amortization, $0.3 million were included in Sales and marketing, $0.5 million were included in General and administrative, and $0.1 million were included in Research and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Company leases office space under non-cancelable operating leases with various expiration dates through 2029. The Company accounts for leases under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subleases certain leased office space to third parties when it determines there is excess leased capacity. On July 8, 2022, the Company entered into a sublease with Monday.com with respect to substantially all of the Company's then-existing corporate headquarters. The sublease commenced on August 26, 2022 and expires on May 30, 2026, unless terminated sooner in accordance with the provisions of the sublease. Pursuant to the terms of the sublease, Monday.com will pay a fixed monthly rent of $0.8 million, subject to periodic increases. In-lieu of a cash security deposit, the Company received a letter of credit from Citibank for approximately $4.5 million.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illustrates the lease costs for the three and six months ended June 30, 2023 and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r>
      <w:tr>
        <w:trPr>
          <w:trHeight w:val="39"/>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4"/>
        </w:trPr>
        <w:tc>
          <w:tcPr>
            <w:tcW w:w="50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CCEEFF"/>
            </w:tcBorders>
            <w:shd w:val="clear" w:color="auto" w:fill="CCEEFF"/>
          </w:tcPr>
          <w:p>
            <w:pPr>
              <w:spacing w:after="0"/>
              <w:rPr>
                <w:sz w:val="18"/>
                <w:szCs w:val="18"/>
                <w:color w:val="auto"/>
              </w:rPr>
            </w:pPr>
          </w:p>
        </w:tc>
      </w:tr>
      <w:tr>
        <w:trPr>
          <w:trHeight w:val="237"/>
        </w:trPr>
        <w:tc>
          <w:tcPr>
            <w:tcW w:w="50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7,615</w:t>
            </w:r>
          </w:p>
        </w:tc>
        <w:tc>
          <w:tcPr>
            <w:tcW w:w="80" w:type="dxa"/>
            <w:vAlign w:val="bottom"/>
            <w:tcBorders>
              <w:top w:val="single" w:sz="8" w:color="CCEEFF"/>
            </w:tcBorders>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7,571</w:t>
            </w:r>
          </w:p>
        </w:tc>
        <w:tc>
          <w:tcPr>
            <w:tcW w:w="10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15,062</w:t>
            </w:r>
          </w:p>
        </w:tc>
        <w:tc>
          <w:tcPr>
            <w:tcW w:w="10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8"/>
              </w:rPr>
              <w:t>15,168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(3,894)</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(1,835)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(7,852)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(3,670)</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3,721</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5,736</w:t>
            </w:r>
          </w:p>
        </w:tc>
        <w:tc>
          <w:tcPr>
            <w:tcW w:w="100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7,210</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98"/>
              </w:rPr>
              <w:t>11,498</w:t>
            </w:r>
          </w:p>
        </w:tc>
      </w:tr>
      <w:tr>
        <w:trPr>
          <w:trHeight w:val="21"/>
        </w:trPr>
        <w:tc>
          <w:tcPr>
            <w:tcW w:w="5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components of total lease cost are recorded within General and administrative expenses within the condensed consolidated statement of operations. The Company does not have material short-term or variable lease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were recorded in the Company’s condensed consolidated balance sheet related to operating leases: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56,537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66,581</w:t>
            </w:r>
          </w:p>
        </w:tc>
      </w:tr>
      <w:tr>
        <w:trPr>
          <w:trHeight w:val="270"/>
        </w:trPr>
        <w:tc>
          <w:tcPr>
            <w:tcW w:w="8160" w:type="dxa"/>
            <w:vAlign w:val="bottom"/>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lease liabilities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Noncurrent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liabilities</w:t>
      </w:r>
    </w:p>
    <w:p>
      <w:pPr>
        <w:spacing w:after="0" w:line="360"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Other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23,398</w:t>
            </w:r>
          </w:p>
        </w:tc>
      </w:tr>
      <w:tr>
        <w:trPr>
          <w:trHeight w:val="263"/>
        </w:trPr>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49,036</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59,315</w:t>
            </w:r>
          </w:p>
        </w:tc>
      </w:tr>
      <w:tr>
        <w:trPr>
          <w:trHeight w:val="250"/>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71,052</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82,713</w:t>
            </w:r>
          </w:p>
        </w:tc>
      </w:tr>
      <w:tr>
        <w:trPr>
          <w:trHeight w:val="27"/>
        </w:trPr>
        <w:tc>
          <w:tcPr>
            <w:tcW w:w="5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spacing w:after="0"/>
        <w:tabs>
          <w:tab w:leader="none" w:pos="1740" w:val="left"/>
        </w:tabs>
        <w:rPr>
          <w:sz w:val="20"/>
          <w:szCs w:val="20"/>
          <w:color w:val="auto"/>
        </w:rPr>
      </w:pPr>
      <w:r>
        <w:rPr>
          <w:rFonts w:ascii="Arial" w:cs="Arial" w:eastAsia="Arial" w:hAnsi="Arial"/>
          <w:sz w:val="14"/>
          <w:szCs w:val="14"/>
          <w:b w:val="1"/>
          <w:bCs w:val="1"/>
          <w:color w:val="auto"/>
        </w:rPr>
        <w:t>Six Months Ended</w:t>
      </w:r>
      <w:r>
        <w:rPr>
          <w:sz w:val="20"/>
          <w:szCs w:val="20"/>
          <w:color w:val="auto"/>
        </w:rPr>
        <w:tab/>
      </w:r>
      <w:r>
        <w:rPr>
          <w:rFonts w:ascii="Arial" w:cs="Arial" w:eastAsia="Arial" w:hAnsi="Arial"/>
          <w:sz w:val="13"/>
          <w:szCs w:val="13"/>
          <w:b w:val="1"/>
          <w:bCs w:val="1"/>
          <w:color w:val="auto"/>
        </w:rPr>
        <w:t>Six Months Ended</w:t>
      </w:r>
    </w:p>
    <w:p>
      <w:pPr>
        <w:spacing w:after="0" w:line="25" w:lineRule="exact"/>
        <w:rPr>
          <w:sz w:val="20"/>
          <w:szCs w:val="20"/>
          <w:color w:val="auto"/>
        </w:rPr>
      </w:pPr>
    </w:p>
    <w:p>
      <w:pPr>
        <w:ind w:left="340"/>
        <w:spacing w:after="0"/>
        <w:tabs>
          <w:tab w:leader="none" w:pos="1900" w:val="left"/>
        </w:tabs>
        <w:rPr>
          <w:sz w:val="20"/>
          <w:szCs w:val="20"/>
          <w:color w:val="auto"/>
        </w:rPr>
      </w:pPr>
      <w:r>
        <w:rPr>
          <w:rFonts w:ascii="Arial" w:cs="Arial" w:eastAsia="Arial" w:hAnsi="Arial"/>
          <w:sz w:val="14"/>
          <w:szCs w:val="14"/>
          <w:b w:val="1"/>
          <w:bCs w:val="1"/>
          <w:color w:val="auto"/>
        </w:rPr>
        <w:t>June 30, 2023</w:t>
      </w:r>
      <w:r>
        <w:rPr>
          <w:sz w:val="20"/>
          <w:szCs w:val="20"/>
          <w:color w:val="auto"/>
        </w:rPr>
        <w:tab/>
      </w:r>
      <w:r>
        <w:rPr>
          <w:rFonts w:ascii="Arial" w:cs="Arial" w:eastAsia="Arial" w:hAnsi="Arial"/>
          <w:sz w:val="12"/>
          <w:szCs w:val="12"/>
          <w:b w:val="1"/>
          <w:bCs w:val="1"/>
          <w:color w:val="auto"/>
        </w:rPr>
        <w:t>June 30, 2022</w:t>
      </w:r>
    </w:p>
    <w:p>
      <w:pPr>
        <w:spacing w:after="0" w:line="62" w:lineRule="exact"/>
        <w:rPr>
          <w:sz w:val="20"/>
          <w:szCs w:val="20"/>
          <w:color w:val="auto"/>
        </w:rPr>
      </w:pPr>
    </w:p>
    <w:p>
      <w:pPr>
        <w:sectPr>
          <w:pgSz w:w="11900" w:h="16838" w:orient="portrait"/>
          <w:cols w:equalWidth="0" w:num="2">
            <w:col w:w="7440" w:space="720"/>
            <w:col w:w="3080"/>
          </w:cols>
          <w:pgMar w:left="320" w:top="517"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Supplemental cash flow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cash flows for operating lease liabilities</w:t>
            </w:r>
          </w:p>
        </w:tc>
        <w:tc>
          <w:tcPr>
            <w:tcW w:w="1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16,926</w:t>
            </w:r>
          </w:p>
        </w:tc>
      </w:tr>
      <w:tr>
        <w:trPr>
          <w:trHeight w:val="528"/>
        </w:trPr>
        <w:tc>
          <w:tcPr>
            <w:tcW w:w="794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133"/>
              <w:spacing w:after="0"/>
              <w:rPr>
                <w:sz w:val="20"/>
                <w:szCs w:val="20"/>
                <w:color w:val="auto"/>
              </w:rPr>
            </w:pPr>
            <w:r>
              <w:rPr>
                <w:rFonts w:ascii="Arial" w:cs="Arial" w:eastAsia="Arial" w:hAnsi="Arial"/>
                <w:sz w:val="14"/>
                <w:szCs w:val="14"/>
                <w:b w:val="1"/>
                <w:bCs w:val="1"/>
                <w:color w:val="auto"/>
                <w:w w:val="90"/>
              </w:rPr>
              <w:t>December 31, 2022</w:t>
            </w:r>
          </w:p>
        </w:tc>
      </w:tr>
      <w:tr>
        <w:trPr>
          <w:trHeight w:val="39"/>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13.81 %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13.76 %</w:t>
            </w:r>
          </w:p>
        </w:tc>
      </w:tr>
      <w:tr>
        <w:trPr>
          <w:trHeight w:val="540"/>
        </w:trPr>
        <w:tc>
          <w:tcPr>
            <w:tcW w:w="7940" w:type="dxa"/>
            <w:vAlign w:val="bottom"/>
          </w:tcPr>
          <w:p>
            <w:pPr>
              <w:ind w:left="660"/>
              <w:spacing w:after="0"/>
              <w:rPr>
                <w:sz w:val="20"/>
                <w:szCs w:val="20"/>
                <w:color w:val="auto"/>
              </w:rPr>
            </w:pPr>
            <w:r>
              <w:rPr>
                <w:rFonts w:ascii="Arial" w:cs="Arial" w:eastAsia="Arial" w:hAnsi="Arial"/>
                <w:sz w:val="18"/>
                <w:szCs w:val="18"/>
                <w:color w:val="auto"/>
              </w:rPr>
              <w:t>Maturities of lease liabilities as of June 30, 2023 were as follows: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4"/>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Operating Leases</w:t>
            </w:r>
          </w:p>
        </w:tc>
      </w:tr>
      <w:tr>
        <w:trPr>
          <w:trHeight w:val="39"/>
        </w:trPr>
        <w:tc>
          <w:tcPr>
            <w:tcW w:w="79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15,954</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2024</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28,238</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25,633</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2026</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13,062</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1,361</w:t>
            </w:r>
          </w:p>
        </w:tc>
      </w:tr>
      <w:tr>
        <w:trPr>
          <w:trHeight w:val="27"/>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86,972</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(15,920)</w:t>
            </w:r>
          </w:p>
        </w:tc>
      </w:tr>
      <w:tr>
        <w:trPr>
          <w:trHeight w:val="27"/>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Sublease receipts to be received in the future under noncancelable subleases as of June 30, 2023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4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r>
      <w:tr>
        <w:trPr>
          <w:trHeight w:val="39"/>
        </w:trPr>
        <w:tc>
          <w:tcPr>
            <w:tcW w:w="9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15,538</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15,538</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4,886</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420" w:firstLine="8"/>
        <w:spacing w:after="0" w:line="503" w:lineRule="auto"/>
        <w:tabs>
          <w:tab w:leader="none" w:pos="27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Guarantees</w:t>
      </w:r>
    </w:p>
    <w:p>
      <w:pPr>
        <w:jc w:val="both"/>
        <w:ind w:firstLine="648"/>
        <w:spacing w:after="0" w:line="279" w:lineRule="auto"/>
        <w:rPr>
          <w:sz w:val="20"/>
          <w:szCs w:val="20"/>
          <w:color w:val="auto"/>
        </w:rPr>
      </w:pPr>
      <w:r>
        <w:rPr>
          <w:rFonts w:ascii="Arial" w:cs="Arial" w:eastAsia="Arial" w:hAnsi="Arial"/>
          <w:sz w:val="17"/>
          <w:szCs w:val="17"/>
          <w:color w:val="auto"/>
        </w:rPr>
        <w:t>In September 2018, at the time of its equity investment in a private company, the Company agreed to guarantee the lease of such company’s premises in New York. In October 2020, the investee renewed its lease agreement, and the Company’s prior guarantee was replaced with a new guarantee of up to $5.4 million. The amount of the guarantee is reduced as the investee makes payments under the lease. As of June 30, 2023, the maximum amount of the guarantee was $0.3 million, and no liability was recognized with respect to the guarantee.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party to various lawsuits and claims in the ordinary course of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Two mass arbitrations (the “Arbitrations”) were initiated before the American Arbitration Association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compensatory damages, an award of costs, and any further appropriate relief. The parties have cross-moved for summary judgment and a hearing on those motions is pending.</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settled or resolved certain legal matters during the three and six months ended June 30, 2023 and 2022 that did not individually or in the aggregate have a material impact on the Company’s business or its condensed consolidated balance sheets,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31, 2023, the Company received a letter (the “Notice”) from the Listing Qualifications Department (the “Staff”) of The Nasdaq Stock Market LLC (“Nasdaq”) notifying the Company that, for the previous 30 consecutive business days, the bid price for the Company’s common stock had closed below the minimum $1.00 per share requirement for continued listing on the Nasdaq Global Market under Nasdaq Listing Rule 5550(a)(2) (the “Bid Price Requirement”). The Notice has no effect at this time on the Company’s common stock or warrants, which continue to trade on the Nasdaq Global Market under the symbols “BZFD” and “BZFDW,” respectively.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Nasdaq Listing Rule 5810(c)(3)(A), the Company has been provided an initial period of 180 calendar days, or until November 27, 2023 (the “Compliance Date”), to regain compliance with the Bid Price Requirement. If, at any time before the Compliance Date, the bid price for the Company’s common stock closes at $1.00 or more for at least 10 consecutive business days, unless the Staff exercises its discretion to extend this 10-day period pursuant to Nasdaq Listing Rule 5810(c)(3)(H), the Staff will provide written notification to the Company that it has regained compliance with the Bid Price Requirement.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Company is not in compliance with the Bid Price Requirement by the Compliance Date, the Company may qualify for a second 180-calendar day compliance period. To qualify, the Company would be required, among other things, to transfer from the Nasdaq Global Market to the Nasdaq Capital Market, to meet the continued listing requirement for the market value of publicly held shares, as well as the standards for initial listing on the Nasdaq Capital Market with the exception of the Bid Price Requirement, and would need to provide written notice of its intention to cure the bid price deficiency during the second compliance period. If the Company does not qualify for, or fails to regain compliance during, a second compliance period, then the Staff will provide written notification to the Company that its common stock will be subject to delisting. At that time, the Company may appeal the Staff’s delisting determination to the Nasdaq Listing Qualifications Panel. However, there can be no assurance that, if the Company receives a delisting notice and appeals the delisting determination, such an appeal would be successful.</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intends to monitor the closing bid price of its common stock and may, if appropriate, consider available options to regain compliance with the Bid Price Requirement.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determined that its chief executive officer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recognized revenue from NBCUniversal Media, LLC (“NBCU”) of $0.2 million and $1.7 million for the three months ended June 30, 2023 and 2022, respectively, and $0.7 million and $2.2 million for the six months ended June 30, 2023 and 2022, respectively. The Company recognized expenses under contractual obligations from NBCU of $nil and $0.2 million for the three months ended June 30, 2023 and 2022, respectively, and $nil and $0.4 million for the six months ended June 30, 2023 and 2022, respectively. The Company had outstanding receivable balances of $0.2 million and $2.2 million from NBCU as of June 30, 2023 and December 31, 2022, respectively. The Company had an outstanding payable balance of $0.2 million to NBCU as of June 30, 2023 (none as of December 31, 2022).</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15, 2023, Verizon Ventures LLC (“Verizon”) converted all 6,478,031 shares of Class C common stock into Class A common stock, resulting in Verizon and its affiliates holding more than 5% of our Class A common stock. Verizon is the landlord for the Company’s corporate headquarters (assumed from the acquisition of Complex Networks), and we transact with Verizon in the normal course of business, such as with agency advertising deals and for certain utilities. The Company recognized revenue from Verizon of $nil for the three and six months ended June 30, 2023 and 2022. The Company recognized expenses under contractual obligations from Verizon of $1.5 million for both the three months ended June 30, 2023 and 2022, and $3.0 million for both the six months ended June 30, 2023 and 2022. The Company had no outstanding receivables or payables from or to Verizon as of June 30, 2023 or December 31, 2022.</w:t>
      </w:r>
    </w:p>
    <w:p>
      <w:pPr>
        <w:spacing w:after="0" w:line="191" w:lineRule="exact"/>
        <w:rPr>
          <w:sz w:val="20"/>
          <w:szCs w:val="20"/>
          <w:color w:val="auto"/>
        </w:rPr>
      </w:pPr>
    </w:p>
    <w:p>
      <w:pPr>
        <w:ind w:right="9000" w:firstLine="8"/>
        <w:spacing w:after="0" w:line="503" w:lineRule="auto"/>
        <w:tabs>
          <w:tab w:leader="none" w:pos="27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Film Costs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Film costs, which were included in Prepaid and other assets on the condensed consolidated balance sheets,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Individual Monetization:</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6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Feature films in production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9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material amortization of film costs for the three and six months ended June 30, 2023 or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Assistance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Production tax incentives reduced capitalized film costs by $1.5 million as of December 31, 2022 (none as of June 30, 2023). The Company had receivables related to our production tax credits of $3.0 million as of June 30, 2023 and December 31, 2022, included in Prepaid and other current assets in our condensed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Disclosures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5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4"/>
        </w:trPr>
        <w:tc>
          <w:tcPr>
            <w:tcW w:w="8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r>
      <w:tr>
        <w:trPr>
          <w:trHeight w:val="39"/>
        </w:trPr>
        <w:tc>
          <w:tcPr>
            <w:tcW w:w="8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income taxes, net</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6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2,059</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8,753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7,818</w:t>
            </w:r>
          </w:p>
        </w:tc>
      </w:tr>
      <w:tr>
        <w:trPr>
          <w:trHeight w:val="27"/>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property and equipment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deferred offering costs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905"/>
        </w:trPr>
        <w:tc>
          <w:tcPr>
            <w:tcW w:w="8160" w:type="dxa"/>
            <w:vAlign w:val="bottom"/>
          </w:tcPr>
          <w:p>
            <w:pPr>
              <w:ind w:left="5540"/>
              <w:spacing w:after="0"/>
              <w:rPr>
                <w:sz w:val="20"/>
                <w:szCs w:val="20"/>
                <w:color w:val="auto"/>
              </w:rPr>
            </w:pPr>
            <w:r>
              <w:rPr>
                <w:rFonts w:ascii="Arial" w:cs="Arial" w:eastAsia="Arial" w:hAnsi="Arial"/>
                <w:sz w:val="18"/>
                <w:szCs w:val="18"/>
                <w:color w:val="auto"/>
              </w:rPr>
              <w:t>29</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15"/>
        </w:trPr>
        <w:tc>
          <w:tcPr>
            <w:tcW w:w="8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Other 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net consisted of the following for the three and six months ended June 30, 2023 and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80" w:type="dxa"/>
            <w:vAlign w:val="bottom"/>
            <w:gridSpan w:val="4"/>
          </w:tcPr>
          <w:p>
            <w:pPr>
              <w:ind w:left="600"/>
              <w:spacing w:after="0"/>
              <w:rPr>
                <w:sz w:val="20"/>
                <w:szCs w:val="20"/>
                <w:color w:val="auto"/>
              </w:rPr>
            </w:pPr>
            <w:r>
              <w:rPr>
                <w:rFonts w:ascii="Arial" w:cs="Arial" w:eastAsia="Arial" w:hAnsi="Arial"/>
                <w:sz w:val="14"/>
                <w:szCs w:val="14"/>
                <w:b w:val="1"/>
                <w:bCs w:val="1"/>
                <w:color w:val="auto"/>
                <w:w w:val="93"/>
              </w:rPr>
              <w:t>Three Months Ended June 30,</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1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12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Arial" w:cs="Arial" w:eastAsia="Arial" w:hAnsi="Arial"/>
                <w:sz w:val="14"/>
                <w:szCs w:val="14"/>
                <w:b w:val="1"/>
                <w:bCs w:val="1"/>
                <w:color w:val="auto"/>
                <w:w w:val="89"/>
              </w:rPr>
              <w:t>2023</w:t>
            </w:r>
          </w:p>
        </w:tc>
        <w:tc>
          <w:tcPr>
            <w:tcW w:w="58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5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gain (loss)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(3,278)</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(Loss) gain on investment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(3,590)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(3,675)</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(3,440)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120" w:type="dxa"/>
            <w:vAlign w:val="bottom"/>
          </w:tcPr>
          <w:p>
            <w:pPr>
              <w:spacing w:after="0"/>
              <w:rPr>
                <w:sz w:val="24"/>
                <w:szCs w:val="24"/>
                <w:color w:val="auto"/>
              </w:rPr>
            </w:pPr>
          </w:p>
        </w:tc>
        <w:tc>
          <w:tcPr>
            <w:tcW w:w="900" w:type="dxa"/>
            <w:vAlign w:val="bottom"/>
          </w:tcPr>
          <w:p>
            <w:pPr>
              <w:jc w:val="right"/>
              <w:ind w:right="219"/>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SEC filings. Additionally, our historical results are not necessarily indicative of the results that may be expected for any period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BuzzFeed is a premier digital media company for the most diverse, most online, and most socially connected generations the world has ever seen. Across food, news, pop culture and commerce, our brands drive conversation and inspire what audiences watch, read, and buy now — and into the future. With a portfolio of iconic, globally-loved brands that includes BuzzFeed, HuffPost, Tasty, Complex Networks, and First We Feast, we are the number one destination for Gen Z and Millennials amongst our competitive set, in terms of time spent, according to Comscore.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1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BuzzFeed curates the Internet, and acts as an “inspiration engine,” driving both online and real-world action and transactions. Our strong audience signal and powerful content flywheel enable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media platforms, including Facebook, YouTube, Instagram, TikTok, Snapchat, Twitter, and Apple News. In 2022, our audiences consumed more than 620</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million hours of content and drove over $500 million in attributable transactions.</w:t>
      </w:r>
    </w:p>
    <w:p>
      <w:pPr>
        <w:spacing w:after="0" w:line="1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7" w:lineRule="exact"/>
        <w:rPr>
          <w:sz w:val="20"/>
          <w:szCs w:val="20"/>
          <w:color w:val="auto"/>
        </w:rPr>
      </w:pPr>
    </w:p>
    <w:p>
      <w:pPr>
        <w:ind w:left="340" w:hanging="332"/>
        <w:spacing w:after="0" w:line="275"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Facebook. Effective January 1, 2023, we exclude Facebook from our measure of Time Spent. Refer to the “Executive Overview” section below for additional details. Time spent on Facebook, as reported by Facebook, was approximately 184 million hours in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3, 2021, we consummated a business combination (the “Business Combination”) by and among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pursuant to subscription agreements entered into in connection with the entry into the merger agreement pursuant to which the Business Combination was consummated, we issued, and certain investors purchased, $150.0 million aggregate principal amount of unsecured convertible notes due 2026 in connection with with the closing of the Business Combination (the “Notes”). Refer to Note 9 to the condensed consolidated financial statements in Item 1 of this Form 10-Q for additional details.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12, 2022, the board of directors waived the liquidity condition associated with 2.4 million restricted stock units that the Business Combination did not satisfy, permitting them to vest (based on service). We recognized approximately $8.2 million of stock-based compensation expense in the second quarter of 2022. There was no such one-time expense in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20, 2023, the Company announced plans to reduce expenses by implementing an approximately 15% reduction in the current workforce. The reduction in workforce plan is part of a broader strategic reprioritization across the Company in order to accelerate revenue growth and improve upon profitability and cash flow. The Company incurred approximately $9.7 million of restructuring costs for the three months ended June 30, 2023, comprised mainly of severance and related benefit costs, of which $5.5 million were included in Cost of revenue, excluding depreciation and amortization, $2.8 million were included in Sales and marketing, $0.6 million were included in General and administrative, and $0.8 million were included in Research and development.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March 2022, in connection with the acquisition of Complex Networks, the Company approved certain organizational changes to align sales and marketing and general and administrative functions as well as changes in content to better serve audience demands. Additionally, in June 2022, as part of a strategic repositioning of BuzzFeed News, the Company entered into a voluntary buyout proposal covering certain desks which was negotiated as part of collective bargaining between the Company and the BuzzFeed News Union. The Company incurred approximately $3.5 million and $5.3 million of restructuring costs for the three and six months ended June 30, 2022, respectively, comprised mainly of severance and related benefit costs. For the three months ended June 30, 2022, $3.1 million were included in Cost of revenue, excluding depreciation and amortization, $0.1 million were included in Sales and marketing, $0.2 million were included in General and administrative, and $0.1 million were included in Research and development. For the six months ended June 30, 2022, approximately $4.4 million were included in Cost of revenue, excluding depreciation and amortization, $0.3 million were included in Sales and marketing, $0.5 million were included in General and administrative, and $0.1 million were included in Research and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the World Health Organization declared the viral strain of COVID-19 a global pandemic and recommended containment and mitigation measures worldwide. The spread of COVID-19 and the resulting economic contraction resulted in increased business uncertainty and significantly impacted our business and results of operations. While the extent of the impact has generally decreased, we continue to monitor the status, and respond to the effects of, the COVID-19 pandemic and its impact on our business. Future developments regarding COVID-19 continue to be uncertain and difficult to predict. There can be no assurances that future impacts related to COVID-19, including new variants, or other global pandemics will not adversely impact our business, results of operations, financial condition and cash flows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Current Economic Conditions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Uncertainty surrounding macroeconomic factors in the United States (the “U.S.”) and globally characterized by inflationary pressure, rising interest rates, geopolitical issues or otherwise may result in a recession, which could have a material adverse effect on our business. Further, we believe advertising and content budgets have been, and may continue to be, affected by macroeconomic factors, such as market uncertainty and rising interest rates, which has led to reduced spending from advertising and content customers. These macroeconomic factors have adversely impacted our advertising and content revenue in the first and second quarters of 2023 and we expect these factors will continue to adversely affect our advertising and content revenue in fiscal year 2023. Please see Part I, Item 1A “Risk Factors” within our Annual Report on Form 10-K for the fiscal year ended December 31, 2022.</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operational highlights for the periods presented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r>
      <w:tr>
        <w:trPr>
          <w:trHeight w:val="26"/>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GAAP</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77,901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106,760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ind w:left="460"/>
              <w:spacing w:after="0"/>
              <w:rPr>
                <w:sz w:val="20"/>
                <w:szCs w:val="20"/>
                <w:color w:val="auto"/>
              </w:rPr>
            </w:pPr>
            <w:r>
              <w:rPr>
                <w:rFonts w:ascii="Arial" w:cs="Arial" w:eastAsia="Arial" w:hAnsi="Arial"/>
                <w:sz w:val="18"/>
                <w:szCs w:val="18"/>
                <w:color w:val="auto"/>
                <w:w w:val="98"/>
              </w:rPr>
              <w:t>145,054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ind w:left="460"/>
              <w:spacing w:after="0"/>
              <w:rPr>
                <w:sz w:val="20"/>
                <w:szCs w:val="20"/>
                <w:color w:val="auto"/>
              </w:rPr>
            </w:pPr>
            <w:r>
              <w:rPr>
                <w:rFonts w:ascii="Arial" w:cs="Arial" w:eastAsia="Arial" w:hAnsi="Arial"/>
                <w:sz w:val="18"/>
                <w:szCs w:val="18"/>
                <w:color w:val="auto"/>
                <w:w w:val="98"/>
              </w:rPr>
              <w:t>198,318</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2"/>
              </w:rPr>
              <w:t>(49,805)</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2"/>
              </w:rPr>
              <w:t>(60,186)</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(27,836)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(23,581)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ind w:left="480"/>
              <w:spacing w:after="0"/>
              <w:rPr>
                <w:sz w:val="20"/>
                <w:szCs w:val="20"/>
                <w:color w:val="auto"/>
              </w:rPr>
            </w:pPr>
            <w:r>
              <w:rPr>
                <w:rFonts w:ascii="Arial" w:cs="Arial" w:eastAsia="Arial" w:hAnsi="Arial"/>
                <w:sz w:val="18"/>
                <w:szCs w:val="18"/>
                <w:color w:val="auto"/>
                <w:w w:val="92"/>
              </w:rPr>
              <w:t>(64,097)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ind w:left="480"/>
              <w:spacing w:after="0"/>
              <w:rPr>
                <w:sz w:val="20"/>
                <w:szCs w:val="20"/>
                <w:color w:val="auto"/>
              </w:rPr>
            </w:pPr>
            <w:r>
              <w:rPr>
                <w:rFonts w:ascii="Arial" w:cs="Arial" w:eastAsia="Arial" w:hAnsi="Arial"/>
                <w:sz w:val="18"/>
                <w:szCs w:val="18"/>
                <w:color w:val="auto"/>
                <w:w w:val="92"/>
              </w:rPr>
              <w:t>(68,147)</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Non-GAAP</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2,093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ind w:left="480"/>
              <w:spacing w:after="0"/>
              <w:rPr>
                <w:sz w:val="20"/>
                <w:szCs w:val="20"/>
                <w:color w:val="auto"/>
              </w:rPr>
            </w:pPr>
            <w:r>
              <w:rPr>
                <w:rFonts w:ascii="Arial" w:cs="Arial" w:eastAsia="Arial" w:hAnsi="Arial"/>
                <w:sz w:val="18"/>
                <w:szCs w:val="18"/>
                <w:color w:val="auto"/>
                <w:w w:val="92"/>
              </w:rPr>
              <w:t>(20,328)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ind w:left="480"/>
              <w:spacing w:after="0"/>
              <w:rPr>
                <w:sz w:val="20"/>
                <w:szCs w:val="20"/>
                <w:color w:val="auto"/>
              </w:rPr>
            </w:pPr>
            <w:r>
              <w:rPr>
                <w:rFonts w:ascii="Arial" w:cs="Arial" w:eastAsia="Arial" w:hAnsi="Arial"/>
                <w:sz w:val="18"/>
                <w:szCs w:val="18"/>
                <w:color w:val="auto"/>
                <w:w w:val="92"/>
              </w:rPr>
              <w:t>(14,671)</w:t>
            </w: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Non-Financial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12"/>
        </w:trPr>
        <w:tc>
          <w:tcPr>
            <w:tcW w:w="5040" w:type="dxa"/>
            <w:vAlign w:val="bottom"/>
          </w:tcPr>
          <w:p>
            <w:pPr>
              <w:ind w:left="20"/>
              <w:spacing w:after="0"/>
              <w:rPr>
                <w:sz w:val="20"/>
                <w:szCs w:val="20"/>
                <w:color w:val="auto"/>
              </w:rPr>
            </w:pPr>
            <w:r>
              <w:rPr>
                <w:rFonts w:ascii="Arial" w:cs="Arial" w:eastAsia="Arial" w:hAnsi="Arial"/>
                <w:sz w:val="18"/>
                <w:szCs w:val="18"/>
                <w:color w:val="auto"/>
              </w:rPr>
              <w:t>Time Spent</w:t>
            </w:r>
            <w:r>
              <w:rPr>
                <w:rFonts w:ascii="Arial" w:cs="Arial" w:eastAsia="Arial" w:hAnsi="Arial"/>
                <w:sz w:val="23"/>
                <w:szCs w:val="23"/>
                <w:color w:val="auto"/>
                <w:vertAlign w:val="superscript"/>
              </w:rPr>
              <w:t>(2)</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96,180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w w:val="98"/>
              </w:rPr>
              <w:t>205,344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w w:val="98"/>
              </w:rPr>
              <w:t>218,225</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ind w:left="340" w:hanging="332"/>
        <w:spacing w:after="0" w:line="26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Reconciliation from Net loss to Adjusted EBITDA</w:t>
      </w:r>
      <w:r>
        <w:rPr>
          <w:rFonts w:ascii="Arial" w:cs="Arial" w:eastAsia="Arial" w:hAnsi="Arial"/>
          <w:sz w:val="18"/>
          <w:szCs w:val="18"/>
          <w:color w:val="auto"/>
        </w:rPr>
        <w:t>” for a reconciliation of Adjusted EBITDA to the most directly comparable financial measure in accordance with accounting principles generally accepted in the U.S (“GAAP”).</w:t>
      </w:r>
    </w:p>
    <w:p>
      <w:pPr>
        <w:spacing w:after="0" w:line="185" w:lineRule="exact"/>
        <w:rPr>
          <w:rFonts w:ascii="Arial" w:cs="Arial" w:eastAsia="Arial" w:hAnsi="Arial"/>
          <w:sz w:val="18"/>
          <w:szCs w:val="18"/>
          <w:color w:val="auto"/>
        </w:rPr>
      </w:pPr>
    </w:p>
    <w:p>
      <w:pPr>
        <w:jc w:val="both"/>
        <w:ind w:left="340" w:hanging="332"/>
        <w:spacing w:after="0" w:line="28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Time Spent as the estimated total number of hours spent by users on our owned and operated U.S. properties, our content on Apple News, and 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Twitter. There are inherent challenges in measuring the total actual number of hours spent with our content across all platforms; however, we consider the data reported by Comscore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Time Spent for the three and six months ended June 30, 2023 decreased by 9% and 6%, respectively, consistent with broader industry trends, amongst our competitive set. Effective January 1, 2023, we exclude time spent on Facebook from our measure of Time Spent, as our monetization strategy is increasingly focused on advertising on our owned and operated properties, and Facebook now contributes an immaterial amount of advertising revenue. Time Spent on Facebook, as reported by Facebook, was approximately 15 million hours and 48 million hours for the three months ended June 30, 2023 and 2022, respectively, and 37 million hours and 120 million hours for the six months ended June 30, 2023 and 2022, respectively, which is not included in Time Spent presented in the table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Performance Metrics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use certain metrics to assess the operational and financial performance of our business. Effective January 1, 2023, we have introduced new metrics with respect to our branded content revenue, which represents the majority of our reported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content revenue and influence our business planning decisions. Our use of net branded content advertiser revenue retention, branded content advertisers, and net average branded content advertiser revenue have limitations as analytical tools, and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investors should not consider them in isolation. Additionally, the aforementioned metrics do not have any standardized meaning and are therefore unlikely to be comparable to similarly titled measures presented by other companies. Pro forma amounts for acquisitions are calculated as if the acquisitions occurred on the first day of the applicable period.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certain operating metrics for our branded content revenue for the three months ended June 30, 2023 and 2022 (on a trailing 12-month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1160" w:type="dxa"/>
            <w:vAlign w:val="bottom"/>
          </w:tcPr>
          <w:p>
            <w:pPr>
              <w:spacing w:after="0"/>
              <w:rPr>
                <w:sz w:val="16"/>
                <w:szCs w:val="16"/>
                <w:color w:val="auto"/>
              </w:rPr>
            </w:pPr>
          </w:p>
        </w:tc>
      </w:tr>
      <w:tr>
        <w:trPr>
          <w:trHeight w:val="39"/>
        </w:trPr>
        <w:tc>
          <w:tcPr>
            <w:tcW w:w="79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796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6"/>
        </w:trPr>
        <w:tc>
          <w:tcPr>
            <w:tcW w:w="7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branded content advertiser revenue retention</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70"/>
        </w:trPr>
        <w:tc>
          <w:tcPr>
            <w:tcW w:w="7960" w:type="dxa"/>
            <w:vAlign w:val="bottom"/>
          </w:tcPr>
          <w:p>
            <w:pPr>
              <w:ind w:left="760"/>
              <w:spacing w:after="0"/>
              <w:rPr>
                <w:sz w:val="20"/>
                <w:szCs w:val="20"/>
                <w:color w:val="auto"/>
              </w:rPr>
            </w:pPr>
            <w:r>
              <w:rPr>
                <w:rFonts w:ascii="Arial" w:cs="Arial" w:eastAsia="Arial" w:hAnsi="Arial"/>
                <w:sz w:val="18"/>
                <w:szCs w:val="18"/>
                <w:color w:val="auto"/>
              </w:rPr>
              <w:t>Branded content advertisers</w:t>
            </w:r>
            <w:r>
              <w:rPr>
                <w:rFonts w:ascii="Arial" w:cs="Arial" w:eastAsia="Arial" w:hAnsi="Arial"/>
                <w:sz w:val="23"/>
                <w:szCs w:val="23"/>
                <w:color w:val="auto"/>
                <w:vertAlign w:val="superscript"/>
              </w:rPr>
              <w:t>(2)</w:t>
            </w: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&gt;90</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&gt;120</w:t>
            </w:r>
          </w:p>
        </w:tc>
      </w:tr>
      <w:tr>
        <w:trPr>
          <w:trHeight w:val="270"/>
        </w:trPr>
        <w:tc>
          <w:tcPr>
            <w:tcW w:w="7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average branded content advertiser revenue</w:t>
            </w:r>
            <w:r>
              <w:rPr>
                <w:rFonts w:ascii="Arial" w:cs="Arial" w:eastAsia="Arial" w:hAnsi="Arial"/>
                <w:sz w:val="23"/>
                <w:szCs w:val="23"/>
                <w:color w:val="auto"/>
                <w:vertAlign w:val="superscript"/>
              </w:rPr>
              <w:t>(3)</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jc w:val="both"/>
        <w:ind w:left="340" w:hanging="332"/>
        <w:spacing w:after="0" w:line="25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branded content advertiser revenue retention is calculated by dividing the branded content revenue for the trailing 12 month from the close of the current reporting period, from advertisers who were also advertisers at the close of the same period in the prior year (the “base period”), by the branded content revenue for the trailing 12 month from the close of the base period. This analysis only considers branded content advertisers who spent greater than $250,000 in the trailing 12 months from the close of the base period, and is pro forma for acquisitions. This metric also excludes revenues derived from joint ventures and from deals not included in the branded content definition below. In both periods presented, this represents the significant majority of branded content advertiser revenue.</w:t>
      </w:r>
    </w:p>
    <w:p>
      <w:pPr>
        <w:spacing w:after="0" w:line="19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actual number of branded content advertisers, excluding branded content advertisers that spent less than $250,000 during the trailing 12 months at the close of the current reporting period, and is pro forma for acquisitions. This does not mean an included advertiser spent $250,000 in any given quarter.</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This does not mean an included advertiser spent $250,000 in any given quarter.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The majority of our revenue is generated through the following types of arrangements:</w:t>
      </w:r>
    </w:p>
    <w:p>
      <w:pPr>
        <w:spacing w:after="0" w:line="225" w:lineRule="exact"/>
        <w:rPr>
          <w:sz w:val="20"/>
          <w:szCs w:val="20"/>
          <w:color w:val="auto"/>
        </w:rPr>
      </w:pPr>
    </w:p>
    <w:p>
      <w:pPr>
        <w:jc w:val="both"/>
        <w:ind w:left="660" w:hanging="328"/>
        <w:spacing w:after="0" w:line="27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Consists of display, programmatic, and video advertising on our owned and operated sites and applications and social media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spacing w:after="0" w:line="180"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Content: </w:t>
      </w:r>
      <w:r>
        <w:rPr>
          <w:rFonts w:ascii="Arial" w:cs="Arial" w:eastAsia="Arial" w:hAnsi="Arial"/>
          <w:sz w:val="18"/>
          <w:szCs w:val="18"/>
          <w:color w:val="auto"/>
        </w:rPr>
        <w:t>Includes revenue generated from creating content, including promotional content, and customer advertising (herein referred to as</w:t>
      </w:r>
      <w:r>
        <w:rPr>
          <w:rFonts w:ascii="Arial" w:cs="Arial" w:eastAsia="Arial" w:hAnsi="Arial"/>
          <w:sz w:val="18"/>
          <w:szCs w:val="18"/>
          <w:i w:val="1"/>
          <w:iCs w:val="1"/>
          <w:color w:val="auto"/>
        </w:rPr>
        <w:t xml:space="preserve"> </w:t>
      </w:r>
      <w:r>
        <w:rPr>
          <w:rFonts w:ascii="Arial" w:cs="Arial" w:eastAsia="Arial" w:hAnsi="Arial"/>
          <w:sz w:val="18"/>
          <w:szCs w:val="18"/>
          <w:color w:val="auto"/>
        </w:rPr>
        <w:t>“branded content”). Additionally, includes revenue from feature films and content licensing. Content revenue is recognized when the content, or the related action (click or view), is delivered.</w:t>
      </w:r>
    </w:p>
    <w:p>
      <w:pPr>
        <w:spacing w:after="0" w:line="18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Commerce and other: </w:t>
      </w:r>
      <w:r>
        <w:rPr>
          <w:rFonts w:ascii="Arial" w:cs="Arial" w:eastAsia="Arial" w:hAnsi="Arial"/>
          <w:sz w:val="18"/>
          <w:szCs w:val="18"/>
          <w:color w:val="auto"/>
        </w:rPr>
        <w:t>Includes affiliate marketplace revenue and licensing of intellectual property. We participate in multiple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 Additionally, we generate other revenues from the production of live and virtual events such as ComplexCon and ComplexLand. We recognize revenue related to such events in the period in which the event occurred, as and when the services are delivered.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Consists primarily of compensation-related expenses and costs incurred for the creation of editorial, promotional, and news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across all platforms, as well as amounts due to third-party websites and platforms to fulfill customers’ advertising campaigns. Web hosting and advertising serving platform costs are also included in cost of revenue.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Consists primarily of compensation-related expenses for sales employees. In addition, sales and marketing expenses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and market research.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color w:val="auto"/>
        </w:rPr>
        <w:t>: Consists of compensation-related expenses for corporate employees. Also, it consists of expenses for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fees, insurance costs, and other general overhead costs.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Consists primarily of compensation-related expenses incurred for the development of, enhancements 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of our website, technology platforms, data collection and infrastructure. Research and development expenses that do not meet the criteria for capitalization are expensed as incurred.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Represents depreciation of property and equipment and amortization of intangible assets and capitalized software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Other expense,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 foreign exchange gains and losses, gains and losses on investments, gains and losses on dispositions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gains and losses on disposition of assets, and other miscellaneous income and expenses.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Consists of interest expense incurred on our borrowings, net of interest income on interest bearing checking accounts.</w:t>
      </w:r>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Change in fair value of warrant liabilities: </w:t>
      </w:r>
      <w:r>
        <w:rPr>
          <w:rFonts w:ascii="Arial" w:cs="Arial" w:eastAsia="Arial" w:hAnsi="Arial"/>
          <w:sz w:val="16"/>
          <w:szCs w:val="16"/>
          <w:color w:val="auto"/>
        </w:rPr>
        <w:t>Reflects the changes in warrant liabilities which is primarily based on the market price of our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listed on Nasdaq under the symbol “BZFDW.” Refer to Note 5 to the condensed consolidated financial statements for additional details.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Change in fair value of derivative liability: </w:t>
      </w:r>
      <w:r>
        <w:rPr>
          <w:rFonts w:ascii="Arial" w:cs="Arial" w:eastAsia="Arial" w:hAnsi="Arial"/>
          <w:sz w:val="18"/>
          <w:szCs w:val="18"/>
          <w:color w:val="auto"/>
        </w:rPr>
        <w:t>In December 2021, we issued $150.0 million aggregate principal amount of unsecured convertible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due 2026 (i.e., the Notes) that contain redemption features which we determined were embedded derivatives to be recognized as liabilities and measured at fair value. At the end of each reporting period, changes in the estimated fair value during the period are recorded as a change in the fair value of derivative liability.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Income tax (benefit) provision: </w:t>
      </w:r>
      <w:r>
        <w:rPr>
          <w:rFonts w:ascii="Arial" w:cs="Arial" w:eastAsia="Arial" w:hAnsi="Arial"/>
          <w:sz w:val="16"/>
          <w:szCs w:val="16"/>
          <w:color w:val="auto"/>
        </w:rPr>
        <w:t>Represents federal, state, and local taxes based on income in multiple domestic and international jurisdictions.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and six months ended June 30, 2023 and 2022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our condensed consolidated statement of operations data for each of the periods presented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6"/>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77,901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145,054</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198,318</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 excluding 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122,347</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36,491</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65,127</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17,445</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97,988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258,504</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(60,186)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(2,578)</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3,359</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(27,873)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(66,001)</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(27,836)</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(68,147)</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Net income attributable to the redeemable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BuzzFeed, Inc.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(63,837)</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(68,659)</w:t>
            </w:r>
          </w:p>
        </w:tc>
      </w:tr>
      <w:tr>
        <w:trPr>
          <w:trHeight w:val="20"/>
        </w:trPr>
        <w:tc>
          <w:tcPr>
            <w:tcW w:w="5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9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Costs and expenses included in stock-based compensation expense are included in the condensed consolidated statements of operations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2,113</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1,612</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2,257</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11,284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w:t>
            </w: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 The negative stock-based compensation expense for the six months ended June 30, 2023 for Research and development was due to forfeitures.</w:t>
      </w:r>
    </w:p>
    <w:p>
      <w:pPr>
        <w:spacing w:after="0" w:line="222" w:lineRule="exact"/>
        <w:rPr>
          <w:sz w:val="20"/>
          <w:szCs w:val="20"/>
          <w:color w:val="auto"/>
        </w:rPr>
      </w:pPr>
    </w:p>
    <w:p>
      <w:pPr>
        <w:ind w:right="600" w:firstLine="648"/>
        <w:spacing w:after="0" w:line="279"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presented as a percentage of revenue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6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48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84"/>
        </w:trPr>
        <w:tc>
          <w:tcPr>
            <w:tcW w:w="5780" w:type="dxa"/>
            <w:vAlign w:val="bottom"/>
            <w:gridSpan w:val="2"/>
          </w:tcPr>
          <w:p>
            <w:pPr>
              <w:ind w:left="5420"/>
              <w:spacing w:after="0"/>
              <w:rPr>
                <w:sz w:val="20"/>
                <w:szCs w:val="20"/>
                <w:color w:val="auto"/>
              </w:rPr>
            </w:pPr>
            <w:r>
              <w:rPr>
                <w:rFonts w:ascii="Arial" w:cs="Arial" w:eastAsia="Arial" w:hAnsi="Arial"/>
                <w:sz w:val="14"/>
                <w:szCs w:val="14"/>
                <w:b w:val="1"/>
                <w:bCs w:val="1"/>
                <w:color w:val="auto"/>
              </w:rPr>
              <w:t>2023</w:t>
            </w: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62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6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2022</w:t>
            </w:r>
          </w:p>
        </w:tc>
      </w:tr>
      <w:tr>
        <w:trPr>
          <w:trHeight w:val="26"/>
        </w:trPr>
        <w:tc>
          <w:tcPr>
            <w:tcW w:w="48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 excluding depreciation and amortization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43"/>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123 %</w:t>
            </w:r>
          </w:p>
        </w:tc>
        <w:tc>
          <w:tcPr>
            <w:tcW w:w="8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130 %</w:t>
            </w:r>
          </w:p>
        </w:tc>
      </w:tr>
      <w:tr>
        <w:trPr>
          <w:trHeight w:val="27"/>
        </w:trPr>
        <w:tc>
          <w:tcPr>
            <w:tcW w:w="4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5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9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the redeemable noncontrolling</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64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1640" w:type="dxa"/>
            <w:vAlign w:val="bottom"/>
            <w:gridSpan w:val="3"/>
          </w:tcPr>
          <w:p>
            <w:pPr>
              <w:jc w:val="right"/>
              <w:ind w:right="1100"/>
              <w:spacing w:after="0"/>
              <w:rPr>
                <w:sz w:val="20"/>
                <w:szCs w:val="20"/>
                <w:color w:val="auto"/>
              </w:rPr>
            </w:pPr>
            <w:r>
              <w:rPr>
                <w:rFonts w:ascii="Arial" w:cs="Arial" w:eastAsia="Arial" w:hAnsi="Arial"/>
                <w:sz w:val="18"/>
                <w:szCs w:val="18"/>
                <w:color w:val="auto"/>
              </w:rPr>
              <w:t>— %</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BuzzFeed, Inc.</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800" w:type="dxa"/>
            <w:vAlign w:val="bottom"/>
          </w:tcPr>
          <w:p>
            <w:pPr>
              <w:spacing w:after="0"/>
              <w:rPr>
                <w:sz w:val="20"/>
                <w:szCs w:val="20"/>
                <w:color w:val="auto"/>
              </w:rPr>
            </w:pPr>
            <w:r>
              <w:rPr>
                <w:rFonts w:ascii="Arial" w:cs="Arial" w:eastAsia="Arial" w:hAnsi="Arial"/>
                <w:sz w:val="18"/>
                <w:szCs w:val="18"/>
                <w:color w:val="auto"/>
              </w:rPr>
              <w:t>_________________________________</w:t>
            </w: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(1) Percentages have been rounded for presentation purposes and may differ from unrounded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was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298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80" w:type="dxa"/>
            <w:vAlign w:val="bottom"/>
            <w:gridSpan w:val="2"/>
          </w:tcPr>
          <w:p>
            <w:pPr>
              <w:ind w:left="44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35,397</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53,224</w:t>
            </w:r>
          </w:p>
        </w:tc>
        <w:tc>
          <w:tcPr>
            <w:tcW w:w="164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w w:val="91"/>
              </w:rPr>
              <w:t>(33)%</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101,892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rPr>
                <w:sz w:val="20"/>
                <w:szCs w:val="20"/>
                <w:color w:val="auto"/>
              </w:rPr>
            </w:pPr>
            <w:r>
              <w:rPr>
                <w:rFonts w:ascii="Arial" w:cs="Arial" w:eastAsia="Arial" w:hAnsi="Arial"/>
                <w:sz w:val="18"/>
                <w:szCs w:val="18"/>
                <w:color w:val="auto"/>
              </w:rPr>
              <w:t>Content</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31,479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40,284</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w w:val="91"/>
              </w:rPr>
              <w:t>(22)%</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72,563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Commerce and other</w:t>
            </w:r>
          </w:p>
        </w:tc>
        <w:tc>
          <w:tcPr>
            <w:tcW w:w="8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1"/>
              </w:rPr>
              <w:t>(17)%</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77,901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106,760</w:t>
            </w:r>
          </w:p>
        </w:tc>
        <w:tc>
          <w:tcPr>
            <w:tcW w:w="1980" w:type="dxa"/>
            <w:vAlign w:val="bottom"/>
            <w:gridSpan w:val="3"/>
          </w:tcPr>
          <w:p>
            <w:pPr>
              <w:ind w:left="1180"/>
              <w:spacing w:after="0"/>
              <w:rPr>
                <w:sz w:val="20"/>
                <w:szCs w:val="20"/>
                <w:color w:val="auto"/>
              </w:rPr>
            </w:pPr>
            <w:r>
              <w:rPr>
                <w:rFonts w:ascii="Arial" w:cs="Arial" w:eastAsia="Arial" w:hAnsi="Arial"/>
                <w:sz w:val="18"/>
                <w:szCs w:val="18"/>
                <w:color w:val="auto"/>
              </w:rPr>
              <w:t>(27)% $</w:t>
            </w:r>
          </w:p>
        </w:tc>
        <w:tc>
          <w:tcPr>
            <w:tcW w:w="1100" w:type="dxa"/>
            <w:vAlign w:val="bottom"/>
          </w:tcPr>
          <w:p>
            <w:pPr>
              <w:jc w:val="right"/>
              <w:spacing w:after="0"/>
              <w:rPr>
                <w:sz w:val="20"/>
                <w:szCs w:val="20"/>
                <w:color w:val="auto"/>
              </w:rPr>
            </w:pPr>
            <w:r>
              <w:rPr>
                <w:rFonts w:ascii="Arial" w:cs="Arial" w:eastAsia="Arial" w:hAnsi="Arial"/>
                <w:sz w:val="18"/>
                <w:szCs w:val="18"/>
                <w:color w:val="auto"/>
              </w:rPr>
              <w:t>145,054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198,318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Advertising revenue decreased by $17.8 million, or 33%, for the three months ended June 30, 2023 driven by a $9.5 million, or 25%, decline in advertising revenue from products monetized on a per-impression basis, which reflects a 17% decline in the number of programmatic impressions delivered and an 8% decline in overall pricing. The remaining decline was primarily driven by a decline in advertising revenues derived from products that are not monetized on a per-impression basis.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Advertising revenue decreased by $32.2 million, or 32%, for the six months ended June 30, 2023 driven by a $15.6 million, or 22%, decline in advertising revenue from products monetized on a per-impression basis, which reflects a 11% decrease in overall pricing and a 11% decline in the number of programmatic impressions delivered. We expect these declines in pricing and impressions to continue in the near-term. The remaining decline was primarily driven by a decline in advertising revenues derived from products that are not monetized on a per-impression basis.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Content revenue decreased by $8.8 million, or 22%, for the three months ended June 30, 2023, primarily due to $6.3 million of revenue recognized from feature films during the three months ended June 30, 2022, with no comparable revenue in the current three-month period. Additionally, the decrease in the number of branded content advertisers contributed to the year-over-year decline.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Content revenue decreased by $19.5 million, or 27%, for the six months ended June 30, 2023 driven by a decrease in consumer spending in certain client verticals, particularly those in the technology and telecommunications and retail industries due to the broader macroeconomic environment. Additionally, a decrease in the number of branded content advertisers contributed to the year-over-year decline, as well as the comparison against $6.3 million of revenue recognized from feature films during the six months ended June 30, 2022, with no comparable revenue in the current six-month period.</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Commerce and other decreased by $2.2 million, or 17%, and $1.6 million, or 6%, for the three and six months ended June 30, 2023, respectively, principally reflecting the comparative period including a virtual event that took place in the second quarter of 2022 which did not take place in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10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4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18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84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4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50,507</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61,529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97,851</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122,347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As a percentage of</w:t>
            </w:r>
          </w:p>
        </w:tc>
        <w:tc>
          <w:tcPr>
            <w:tcW w:w="1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40" w:type="dxa"/>
            <w:vAlign w:val="bottom"/>
          </w:tcPr>
          <w:p>
            <w:pPr>
              <w:jc w:val="right"/>
              <w:ind w:right="279"/>
              <w:spacing w:after="0"/>
              <w:rPr>
                <w:sz w:val="20"/>
                <w:szCs w:val="20"/>
                <w:color w:val="auto"/>
              </w:rPr>
            </w:pPr>
            <w:r>
              <w:rPr>
                <w:rFonts w:ascii="Arial" w:cs="Arial" w:eastAsia="Arial" w:hAnsi="Arial"/>
                <w:sz w:val="18"/>
                <w:szCs w:val="18"/>
                <w:color w:val="auto"/>
              </w:rPr>
              <w:t>65 %</w:t>
            </w:r>
          </w:p>
        </w:tc>
        <w:tc>
          <w:tcPr>
            <w:tcW w:w="126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279"/>
              <w:spacing w:after="0"/>
              <w:rPr>
                <w:sz w:val="20"/>
                <w:szCs w:val="20"/>
                <w:color w:val="auto"/>
              </w:rPr>
            </w:pPr>
            <w:r>
              <w:rPr>
                <w:rFonts w:ascii="Arial" w:cs="Arial" w:eastAsia="Arial" w:hAnsi="Arial"/>
                <w:sz w:val="18"/>
                <w:szCs w:val="18"/>
                <w:color w:val="auto"/>
              </w:rPr>
              <w:t>67 %</w:t>
            </w:r>
          </w:p>
        </w:tc>
        <w:tc>
          <w:tcPr>
            <w:tcW w:w="126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decreased by $11.0 million, or 18%, for the three months ended June 30, 2023 driven by a $7.6 million decrease in compensation expense reflecting our previous cost savings actions, a $2.4 million decrease in stock-based compensation expense, a $1.4 million decrease in variable costs of revenue due to changes in the revenue mix, and a $1.1 million decrease in consulting expenses, partially offset by a $2.5 million increase in restructuring expenses.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decreased by $24.5 million, or 20%, for the six months ended June 30, 2023 driven by a $13.2 million decrease in compensation expense reflecting our previous cost savings actions, a $7.4 million decrease in variable costs of revenue driven by the decline in revenue year-over-year and changes in the revenue mix, a $2.5 million decrease in stock-based compensation expense, and a $1.6 million decrease in consulting and content expenses, partially offset by a $1.2 million increase in restructuring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10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1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84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2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4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8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14,135</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18,688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29,436</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36,491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As a percentage of</w:t>
            </w:r>
          </w:p>
        </w:tc>
        <w:tc>
          <w:tcPr>
            <w:tcW w:w="1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40" w:type="dxa"/>
            <w:vAlign w:val="bottom"/>
          </w:tcPr>
          <w:p>
            <w:pPr>
              <w:jc w:val="right"/>
              <w:ind w:right="279"/>
              <w:spacing w:after="0"/>
              <w:rPr>
                <w:sz w:val="20"/>
                <w:szCs w:val="20"/>
                <w:color w:val="auto"/>
              </w:rPr>
            </w:pPr>
            <w:r>
              <w:rPr>
                <w:rFonts w:ascii="Arial" w:cs="Arial" w:eastAsia="Arial" w:hAnsi="Arial"/>
                <w:sz w:val="18"/>
                <w:szCs w:val="18"/>
                <w:color w:val="auto"/>
              </w:rPr>
              <w:t>18 %</w:t>
            </w:r>
          </w:p>
        </w:tc>
        <w:tc>
          <w:tcPr>
            <w:tcW w:w="12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20 %</w:t>
            </w:r>
          </w:p>
        </w:tc>
        <w:tc>
          <w:tcPr>
            <w:tcW w:w="126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Sales and marketing expenses decreased by $4.6 million, or 24%, for the three months ended June 30, 2023 driven by a $4.2 million decrease in compensation and related expenses reflecting our previous cost savings actions, a $1.3 million decrease in consulting, research, and marketing and other expenses, and a $1.1 million decrease in stock-based compensation expense, partially offset by a $2.6 million increase in restructuring expenses.</w:t>
      </w:r>
    </w:p>
    <w:p>
      <w:pPr>
        <w:spacing w:after="0" w:line="5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Sales and marketing expenses decreased by $7.1 million, or 19%, for the six months ended June 30, 2023 driven by a $6.8 million decrease in compensation and related expenses reflecting our previous cost savings actions, a $1.2 million decrease in stock-based compensation expense, and a $0.9 million decrease in consulting and research expenses, partially offset by a $2.4 million increase in restructuring expenses.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308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18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184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4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w:t>
            </w:r>
          </w:p>
        </w:tc>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8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21,356</w:t>
            </w: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32,565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43,358</w:t>
            </w: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65,127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As a percentage of</w:t>
            </w: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revenue</w:t>
            </w:r>
          </w:p>
        </w:tc>
        <w:tc>
          <w:tcPr>
            <w:tcW w:w="1840" w:type="dxa"/>
            <w:vAlign w:val="bottom"/>
          </w:tcPr>
          <w:p>
            <w:pPr>
              <w:jc w:val="right"/>
              <w:ind w:right="279"/>
              <w:spacing w:after="0"/>
              <w:rPr>
                <w:sz w:val="20"/>
                <w:szCs w:val="20"/>
                <w:color w:val="auto"/>
              </w:rPr>
            </w:pPr>
            <w:r>
              <w:rPr>
                <w:rFonts w:ascii="Arial" w:cs="Arial" w:eastAsia="Arial" w:hAnsi="Arial"/>
                <w:sz w:val="18"/>
                <w:szCs w:val="18"/>
                <w:color w:val="auto"/>
              </w:rPr>
              <w:t>27 %</w:t>
            </w:r>
          </w:p>
        </w:tc>
        <w:tc>
          <w:tcPr>
            <w:tcW w:w="124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jc w:val="right"/>
              <w:ind w:right="279"/>
              <w:spacing w:after="0"/>
              <w:rPr>
                <w:sz w:val="20"/>
                <w:szCs w:val="20"/>
                <w:color w:val="auto"/>
              </w:rPr>
            </w:pPr>
            <w:r>
              <w:rPr>
                <w:rFonts w:ascii="Arial" w:cs="Arial" w:eastAsia="Arial" w:hAnsi="Arial"/>
                <w:sz w:val="18"/>
                <w:szCs w:val="18"/>
                <w:color w:val="auto"/>
              </w:rPr>
              <w:t>30 %</w:t>
            </w:r>
          </w:p>
        </w:tc>
        <w:tc>
          <w:tcPr>
            <w:tcW w:w="124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expenses decreased by $11.2 million, or 34%, for the three months ended June 30, 2023 driven by a $3.2 million decrease in transaction-related, certain litigation costs, and public company readiness costs that were incurred in the prior year related to the Business Combination, a $2.2 million decrease in stock-based compensation expense, a $2.1 million increase in sublease income largely associated with the sublease of our former corporate headquarters in the third quarter of 2022, a $1.1 million decrease in professional fees, and a $0.9 million decrease in compensation expenses reflecting our previous cost savings actions.</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expenses decreased by $21.8 million, or 33%, for the six months ended June 30, 2023 driven by a $7.5 million decrease in transaction-related, certain litigation costs, and public company readiness costs that were incurred in the prior year related to the Business Combination, a $4.2 million decrease in stock-based compensation expense, a $4.2 million increase in sublease income largely associated with the sublease of our former corporate headquarters in the third quarter of 2022, a $1.5 million decrease in professional fees, and a $0.8 million decrease in compensation expenses reflecting our previous cost savings 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306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18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182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2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3,960</w:t>
            </w: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10,253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7,779</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17,445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As a percentage of</w:t>
            </w: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revenue</w:t>
            </w: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5 %</w:t>
            </w:r>
          </w:p>
        </w:tc>
        <w:tc>
          <w:tcPr>
            <w:tcW w:w="12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5 %</w:t>
            </w:r>
          </w:p>
        </w:tc>
        <w:tc>
          <w:tcPr>
            <w:tcW w:w="1260" w:type="dxa"/>
            <w:vAlign w:val="bottom"/>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Research and development expenses decreased by $6.3 million, or 61%, for the three months ended June 30, 2023 driven by a $3.3 million decrease in stock-based compensation expense and a $3.0 million decrease in compensation expense reflecting our previous cost savings actions.</w:t>
      </w:r>
    </w:p>
    <w:p>
      <w:pPr>
        <w:spacing w:after="0" w:line="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Research and development expenses decreased by $9.7 million, or 55%, for the six months ended June 30, 2023 driven by a $5.8 million decrease in compensation expense reflecting our previous cost savings actions and a $3.8 million decrease in stock-based compensation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306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1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182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2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8,030</w:t>
            </w: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8,613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16,435</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17,094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As a percentage of</w:t>
            </w: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revenue</w:t>
            </w: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10 %</w:t>
            </w:r>
          </w:p>
        </w:tc>
        <w:tc>
          <w:tcPr>
            <w:tcW w:w="12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11 %</w:t>
            </w:r>
          </w:p>
        </w:tc>
        <w:tc>
          <w:tcPr>
            <w:tcW w:w="1260" w:type="dxa"/>
            <w:vAlign w:val="bottom"/>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months ended June 30, 2023, depreciation and amortization expenses decreased by $0.6 million, or 7%, and a $0.7 million, or 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10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4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18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84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2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8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rPr>
              <w:t>(3,675)</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(3,440)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rPr>
              <w:t>(3,055)</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(2,578)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As a percentage of</w:t>
            </w:r>
          </w:p>
        </w:tc>
        <w:tc>
          <w:tcPr>
            <w:tcW w:w="1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40" w:type="dxa"/>
            <w:vAlign w:val="bottom"/>
          </w:tcPr>
          <w:p>
            <w:pPr>
              <w:jc w:val="right"/>
              <w:ind w:right="279"/>
              <w:spacing w:after="0"/>
              <w:rPr>
                <w:sz w:val="20"/>
                <w:szCs w:val="20"/>
                <w:color w:val="auto"/>
              </w:rPr>
            </w:pPr>
            <w:r>
              <w:rPr>
                <w:rFonts w:ascii="Arial" w:cs="Arial" w:eastAsia="Arial" w:hAnsi="Arial"/>
                <w:sz w:val="18"/>
                <w:szCs w:val="18"/>
                <w:color w:val="auto"/>
              </w:rPr>
              <w:t>(5)%</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(2)%</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expense, net increased by $0.2 million, or 7%, for the three months ended June 30, 2023 driven by a $3.6 million loss on investment during the three months ended June 30, 2023 (with no comparable loss in the prior-year period), partially offset by net foreign currency losses of $3.3 million (primarily unrealized) recognized during the three months ended June 30, 2022 (with no comparable loss in the current-year period).</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 net increased by $0.5 million, or 19%, for the six months ended June 30, 2023 driven by a $4.9 million change in investment (consisting of a $3.6 million loss on investment during the six months ended June 30, 2023 and a $1.3 million unrealized gain during the six months ended June 30, 2022), partially offset by net foreign currency losses of $3.5 million (primarily unrealized) recognized during the six months ended June 30, 2022 (with no comparable loss in the current-year period).</w:t>
      </w:r>
    </w:p>
    <w:p>
      <w:pPr>
        <w:spacing w:after="0" w:line="1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5 to the condensed consolidated financial statements for additional information surrounding the loss on investment recorded in the second quarter of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8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4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18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84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4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rPr>
              <w:t>(5,631)</w:t>
            </w: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(5,032)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rPr>
              <w:t>(11,049)</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(9,821)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As a percentage of</w:t>
            </w: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40" w:type="dxa"/>
            <w:vAlign w:val="bottom"/>
          </w:tcPr>
          <w:p>
            <w:pPr>
              <w:jc w:val="right"/>
              <w:ind w:right="279"/>
              <w:spacing w:after="0"/>
              <w:rPr>
                <w:sz w:val="20"/>
                <w:szCs w:val="20"/>
                <w:color w:val="auto"/>
              </w:rPr>
            </w:pPr>
            <w:r>
              <w:rPr>
                <w:rFonts w:ascii="Arial" w:cs="Arial" w:eastAsia="Arial" w:hAnsi="Arial"/>
                <w:sz w:val="18"/>
                <w:szCs w:val="18"/>
                <w:color w:val="auto"/>
              </w:rPr>
              <w:t>(7)%</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259"/>
              <w:spacing w:after="0"/>
              <w:rPr>
                <w:sz w:val="20"/>
                <w:szCs w:val="20"/>
                <w:color w:val="auto"/>
              </w:rPr>
            </w:pPr>
            <w:r>
              <w:rPr>
                <w:rFonts w:ascii="Arial" w:cs="Arial" w:eastAsia="Arial" w:hAnsi="Arial"/>
                <w:sz w:val="18"/>
                <w:szCs w:val="18"/>
                <w:color w:val="auto"/>
              </w:rPr>
              <w:t>(8)%</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net increased by $0.6 million, or 12%, for the three months ended June 30, 2023 driven by increased interest rates year-over-year.</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net increased by $1.2 million, or 13%, for the six months ended June 30, 2023 driven by increased interest rates year-over-year, coupled with a larger amount outstanding under the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306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6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18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182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20" w:type="dxa"/>
            <w:vAlign w:val="bottom"/>
          </w:tcPr>
          <w:p>
            <w:pPr>
              <w:jc w:val="right"/>
              <w:ind w:right="83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liabilities</w:t>
            </w:r>
          </w:p>
        </w:tc>
        <w:tc>
          <w:tcPr>
            <w:tcW w:w="1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395</w:t>
            </w: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6,775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rPr>
              <w:t>(198)</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3,359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Arial" w:cs="Arial" w:eastAsia="Arial" w:hAnsi="Arial"/>
                <w:sz w:val="18"/>
                <w:szCs w:val="18"/>
                <w:color w:val="auto"/>
              </w:rPr>
              <w:t>As a percentage of</w:t>
            </w: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revenue</w:t>
            </w: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1 %</w:t>
            </w:r>
          </w:p>
        </w:tc>
        <w:tc>
          <w:tcPr>
            <w:tcW w:w="12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259"/>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months ended June 30, 2023, we recorded a gain of $0.4 million and a loss of $0.2 million, respectively, on the change in fair value of warrant liabilities.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306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6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Change</w:t>
            </w:r>
          </w:p>
        </w:tc>
        <w:tc>
          <w:tcPr>
            <w:tcW w:w="1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4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182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0" w:type="dxa"/>
            <w:vAlign w:val="bottom"/>
          </w:tcPr>
          <w:p>
            <w:pPr>
              <w:jc w:val="right"/>
              <w:ind w:right="83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w:t>
            </w:r>
          </w:p>
        </w:tc>
        <w:tc>
          <w:tcPr>
            <w:tcW w:w="1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1,125</w:t>
            </w: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4,800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120</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3,225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Arial" w:cs="Arial" w:eastAsia="Arial" w:hAnsi="Arial"/>
                <w:sz w:val="18"/>
                <w:szCs w:val="18"/>
                <w:color w:val="auto"/>
              </w:rPr>
              <w:t>As a percentage of</w:t>
            </w: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revenue</w:t>
            </w: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1 %</w:t>
            </w:r>
          </w:p>
        </w:tc>
        <w:tc>
          <w:tcPr>
            <w:tcW w:w="12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ind w:right="259"/>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months ended June 30, 2023, we recorded a gain of $1.1 million and $0.1 million, respectively, on the change in fair value of the derivative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306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 Change</w:t>
            </w:r>
          </w:p>
        </w:tc>
        <w:tc>
          <w:tcPr>
            <w:tcW w:w="1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2800" w:type="dxa"/>
            <w:vAlign w:val="bottom"/>
            <w:gridSpan w:val="2"/>
          </w:tcPr>
          <w:p>
            <w:pPr>
              <w:ind w:left="2460"/>
              <w:spacing w:after="0"/>
              <w:rPr>
                <w:sz w:val="20"/>
                <w:szCs w:val="20"/>
                <w:color w:val="auto"/>
              </w:rPr>
            </w:pPr>
            <w:r>
              <w:rPr>
                <w:rFonts w:ascii="Arial" w:cs="Arial" w:eastAsia="Arial" w:hAnsi="Arial"/>
                <w:sz w:val="14"/>
                <w:szCs w:val="14"/>
                <w:b w:val="1"/>
                <w:bCs w:val="1"/>
                <w:color w:val="auto"/>
              </w:rPr>
              <w:t>2023</w:t>
            </w:r>
          </w:p>
        </w:tc>
        <w:tc>
          <w:tcPr>
            <w:tcW w:w="88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tcPr>
          <w:p>
            <w:pPr>
              <w:jc w:val="right"/>
              <w:ind w:right="859"/>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6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(37)</w:t>
            </w: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1,796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110</w:t>
            </w: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2,146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As a percentage of</w:t>
            </w: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For the three and six months ended June 30, 2023 and 2022, the Company recorded an income tax (benefit) / provision of $(nil) and $0.1 million, respectively, related to federal, state, and foreign taxes.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For the three and six months ended June 30, 2022, the Company recorded an income tax provision of $1.8 and $2.1 million, respectively, related to federal, state, and foreign taxes.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June 30, 2023,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the Company’s income tax provision and net income in the period in which such determination is made.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Adjusted EBITDA is a non-GAAP financial measure and represents a key metric used by management and the Board of Directors to measure the operational strength and performance of our business, to establish budgets, and to develop operational goals for managing our business. We define Adjusted EBITDA as net loss, excluding the impact of net income (loss) attributable to noncontrolling interests, income tax (benefit) provision, interest expense, net, other expense, net, depreciation and amortization, stock-based compensation, change in fair value of warrant liabilities, change in fair value of derivative liability, restructuring costs, transaction-related costs, certain litigation costs, public company readiness costs, and other non-cash and non-recurring items that management believes are not indicative of ongoing operations.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Adjusted EBITDA should not be considered a substitute for loss from operations, net loss, or net loss attributable to BuzzFeed, Inc. that we have reported in accordance with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loss to Adjusted EBITDA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consolidated net loss to Adjusted EBITDA for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9"/>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50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(64,097)</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(68,147)</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15,224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Transaction-related costs</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costs</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Public company readiness costs</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8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55"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Refer to elsewhere above in Item 2. “Management’s Discussion and Analysis of Financial Condition and Results of Operations” herein for a discussion of the distinct restructuring activities during the three and six months ended June 30, 2023 and 2022. We exclude restructuring expenses from our non-GAAP measures because we believe they do not</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231F20"/>
        </w:rPr>
        <w:t>reflect expected future operating expenses, they are not indicative of our core operating performance, and they are not meaningful in comparisons to our past operating performance.</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information technology systems.</w:t>
      </w:r>
    </w:p>
    <w:p>
      <w:pPr>
        <w:spacing w:after="0" w:line="183" w:lineRule="exact"/>
        <w:rPr>
          <w:rFonts w:ascii="Arial" w:cs="Arial" w:eastAsia="Arial" w:hAnsi="Arial"/>
          <w:sz w:val="18"/>
          <w:szCs w:val="18"/>
          <w:color w:val="231F20"/>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Reflects one-time initial set-up costs associated with the establishment of our public company structure and processes.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digital media company, we are subject to certain inherent risks and uncertainties associated with the development of our business. To date, substantially all of our efforts have been devoted to the growth of our owned and operated properties and portfolio of brands. This includes our proprietary technology infrastructure, advertising solutions, content creation tools, and more. We have invested in the recruitment of key management and technical staff and have acquired certain businesses. These investments have historically been funded by raising outside capital, and as a result of these efforts, we have generally incurred significant losses and used net cash outflows from operations since our inception— and we may continue to incur such losses and use net cash outflows for the foreseeable future until such time we reach a scale of profitability without needing to rely on funding from outside capital to sustain our operations.</w:t>
      </w:r>
    </w:p>
    <w:p>
      <w:pPr>
        <w:spacing w:after="0" w:line="1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In order to execute our growth strategy, we have historically relied on outside capital through the issuance of equity, debt, and borrowings under financing arrangements (“outside capital”). We may continue to rely on outside capital for the foreseeable future. While we believe we will eventually reach a scale of profitability to sustain our operations, there can be no assurance we will be able to achieve such profitability or do so in a manner that does not necessitate our continued reliance on outside capital.</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the date the accompanying consolidated financial statements were issued (“issuance date”), the presence of the following risks and uncertainties associated with our financial condition may adversely affect our ability to sustain our operations over the next 12 months beyond the issuance date.</w:t>
      </w:r>
    </w:p>
    <w:p>
      <w:pPr>
        <w:spacing w:after="0" w:line="175" w:lineRule="exact"/>
        <w:rPr>
          <w:sz w:val="20"/>
          <w:szCs w:val="20"/>
          <w:color w:val="auto"/>
        </w:rPr>
      </w:pPr>
    </w:p>
    <w:p>
      <w:pPr>
        <w:jc w:val="both"/>
        <w:ind w:left="660" w:hanging="328"/>
        <w:spacing w:after="0" w:line="28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Since our inception, we have generally incurred significant losses and used net cash flows from operations to grow our owned and operated properties and portfolio of brands. During the six months ended June 30, 2023, we incurred a net loss of $64.1 million and used cash flow from operations of $7.7 million. Additionally, as of June 30, 2023, we had unrestricted cash and cash equivalents of $41.3 million available to fund our operations, $0.2 million available under our $50.0 million revolving loan and standby letter of credit facility agreement (i.e., the Revolving Credit Facility) (see Note 9 to the condensed consolidated financial statements for additional details), and an accumulated deficit of $587.0 million.</w:t>
      </w:r>
    </w:p>
    <w:p>
      <w:pPr>
        <w:spacing w:after="0" w:line="170"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to continue to be impacted by the challenging U.S. and global macroeconomic environment, which could adversely impact our ability to grow revenue over the next 12 months beyond the issuance date.</w:t>
      </w:r>
    </w:p>
    <w:p>
      <w:pPr>
        <w:spacing w:after="0" w:line="170"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continue to be affected by our ongoing efforts to integrate Complex Networks and sales execution against the combined brand portfolio, which may result in the incurrence of unexpected expenses or the inability to realize anticipated benefits and synergies over the next 12 months beyond the issuance date.</w:t>
      </w:r>
    </w:p>
    <w:p>
      <w:pPr>
        <w:spacing w:after="0" w:line="174"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required to remain in compliance with certain covenants required by the Revolving Credit Facility which, among others, require us to maintain a minimum of $25.0 million of unrestricted cash at all times and limit, under prescribed circumstances, our ability to incur additional indebtedness, pay dividends, hold unpermitted investments, or make material changes to the business. While we were in compliance with the financial covenants under the Revolving Credit Facility as of June 30, 2023, and we expect to remain in compliance throughout 12 months beyond the issuance date, we may be unable to remain in compliance with one or more of these covenants if we are unable to generate net cash inflows from operations or, if necessary, secure additional outside capital (including through our at-the-market-offering described in Note 11 to the condensed consolidated financial statements for additional details). In the event we are unable to remain in compliance with one or more of the aforementioned covenants, and we are unable to secure a waiver or forbearance, the lender may, at its discretion,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exercise any and all of its existing rights and remedies, which may include, among others, accelerating repayment of the outstanding borrowings and/or asserting its rights in the assets securing the loan.</w:t>
      </w:r>
    </w:p>
    <w:p>
      <w:pPr>
        <w:spacing w:after="0" w:line="17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Due to the risks and uncertainties described above, we continue to carefully evaluate our liquidity position. We recognize the significant challenge of maintaining sufficient liquidity to sustain our operations or remain in compliance with one or more of the covenants required by the Revolving Credit Facility for the next 12 months beyond the issuance date. However, notwithstanding our liquidity position as of the issuance date, and while it is difficult to predict our future liquidity requirements with certainty, we currently expect we will be able to generate sufficient liquidity to fund our operations over the next 12 months beyond the issuance date.</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In response to the risks and uncertainties described above, we may plan to secure additional outside capital over the next 12 months beyond the issuance date. While we have historically been successful in our ability to secure outside capital, as of the issuance date, we had no firm commitments of outside capital other than our at-the-market-offering, which is subject to the conditions contained in the At-The-Market Offering agreement dated June 20, 2023 with Craig-Hallum Capital Group LLC. (see below for additional details). We can provide no assurance we will be able to continue to secure outside capital in the future or do so on terms that are acceptable to us, which could be due to future market conditions which are outside of our control. Furthermore, we also plan to continue to closely monitor our cash flow forecast and, if necessary, we will implement certain incremental cost savings to preserve our liquidity beyond those that were implemented through the restructuring activities that occurred during fiscal year 2022 and 2023 (see Note 14 to the condensed consolidated financial statements for additional details) or through the reduction of our real estate footprint. While we currently expect we will be able to generate sufficient liquidity to fund our operations for the next 12 months beyond the issuance date, we can provide no assurance we will successfully generate such liquidity, or if necessary, secure additional outside capital (including through our at-the-market-offering described below) or implement incremental cost savings.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30, 2020, we entered into a three-year $50.0 million revolving loan and letter of credit facility (i.e., the Revolving Credit Facility).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$15.5 million of standby letters of credit were issued during the three months ended March 31, 2021 in favor of certain of the Company’s landlords. The Revolving Credit Facility was amended and restated in connection with the closing of the Business Combination to, among other things, add the Company and 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We incurred $0.2 million of debt issuance fees associated with the December 15, 2022 amendment. On May 10, 2023, the parties to the Revolving Credit Facility entered into a joinder agreement adding one of our Canadian subsidiaries as a borrower under the Revolving Credit Facility, granting the lenders under the Revolving Credit Facility a lien on that subsidiary’s collateral, and including that subsidiary's receivables in the calculation of the borrowing base under the Revolving Credit Facility. On June 29, 2023, the Revolving Credit Facility was amended to provide for, among other things: (i) permitted overadvances during the period June 29, 2023 through August 31, 2023; (ii) permitted overadvances of up to $7.4 million; (iii) an increase in the applicable margin only during the overadvance period (ranging from 4.5% to 5% depending on the utilization of the facility, with the range reverting to 3.75% to 4.25% starting September 1, 2023); and (iv) a change in the definition of the term “SOFR Index.” We incurred $0.2 million of debt issuance fees associated with the June 29, 2023 amendment.</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Revolving Credit Facility includes covenants that, among other things, require us to maintain at least $25.0 million of unrestricted cash at all times and limit, under prescribed circumstances, our ability to incur additional indebtedness, pay dividends, hold unpermitted investments, or make material changes to the business. We were in compliance with the financial covenants under such facility as of June 30, 2023.</w:t>
      </w:r>
    </w:p>
    <w:p>
      <w:pPr>
        <w:spacing w:after="0" w:line="17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Borrowings under the Revolving Credit Facility bear interest at the greater of a floor rate of 0.75% or the sum of the rate per annum for the forward-looking term rate for SOFR for a term of one (1) month, plus a margin, which, during the overadvance period ending August 31, 2023, ranges from 4.5% to 5% depending on the utilization of the facility, with the range reverting to 3.75% to 4.25% on September 1, 2023, depending on the level of the Company’s utilization of the facility (the interest rate was approximately 9% at June 30, 2023), and subject to a monthly minimum utilization of $15.0 million. The facility also includes an unused commitment fee of 0.375%.</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Revolving Credit Facility is secured by a first priority security interest on the Company’s and the other borrowers’ and guarantors’ cash, accounts receivable, books and records, and related assets.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2023, we had outstanding borrowings of $34.3 million, outstanding letters of credit of $15.5 million, and remaining borrowing capacity of $0.2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June 2021, in connection with the entry into the merger agreement pursuant to which Business Combination was consummated, we entered into subscription agreements with certain investors to sell $150.0 million aggregate principal amount of unsecured convertible notes due 2026 (i.e., the Notes). In connection with the closing of the Business Combination, we issued, and those investors purchased, the Notes. The Notes bear interest at a rate of 8.50% per annum, payable semi-annually, are convertible into approximately 12,000,000 shares of our Class A common stock (or, our election, a combination of cash and our Class A common stock), at an initial conversion price of $12.50, and mature on December 3, 2026.</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after the one year anniversary, and prior to the three-year anniversary, of the issuance of the Notes (i.e., between December 3, 2022 and December 3, 2024), we will be obligated to pay an amount in cash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we would otherwise be entitled to force conversion of the Notes, but are not permitted to do so solely due to the failure of a trading volume condition specified in the indenture governing the Notes.</w:t>
      </w:r>
    </w:p>
    <w:p>
      <w:pPr>
        <w:spacing w:after="0" w:line="16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Each holder of a Note will have the right to cause us to repurchase for cash all or a portion of the Notes held by such holder (i) at any time after the third anniversary of the date on which the Business Combination was consummated, at a price equal to par plus accrued and unpaid interest; or (ii) at any time upon the occurrence of a fundamental change (as defined in the indenture governing the Notes), at a price equal to 101% of par plus accrued and unpaid interest.</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The indenture governing the Notes includes restrictive covenants that, among other things, limit our ability to incur additional debt or liens, make restricted payments or investments, dispose of significant assets, transfer intellectual property, or enter into transactions with affiliates.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(used in) operating, investing and financing activities were as follows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r>
      <w:tr>
        <w:trPr>
          <w:trHeight w:val="25"/>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4"/>
        </w:trPr>
        <w:tc>
          <w:tcPr>
            <w:tcW w:w="8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r>
      <w:tr>
        <w:trPr>
          <w:trHeight w:val="39"/>
        </w:trPr>
        <w:tc>
          <w:tcPr>
            <w:tcW w:w="81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(7,730)</w:t>
            </w:r>
          </w:p>
        </w:tc>
        <w:tc>
          <w:tcPr>
            <w:tcW w:w="10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(3,801)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(7,972)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(9,474)</w:t>
            </w:r>
          </w:p>
        </w:tc>
      </w:tr>
      <w:tr>
        <w:trPr>
          <w:trHeight w:val="27"/>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1,385</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3,140</w:t>
            </w:r>
          </w:p>
        </w:tc>
      </w:tr>
      <w:tr>
        <w:trPr>
          <w:trHeight w:val="27"/>
        </w:trPr>
        <w:tc>
          <w:tcPr>
            <w:tcW w:w="8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may, from time to time, sell up to 13,266,011 shares of our Class A common stock. As of June 30, 2023, we sold 1,715,617 shares of our Class A common stock, at an average price of $0.52 per share, for aggregate net proceeds of $0.8 million after deducting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commissions and offering expenses. We used the aggregate net proceeds for general corporate purposes, and we have 11,550,394 remaining shares available under the At-The-Market-Offering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six months ended June 30, 2023, net cash used in operating activities was $7.7 million compared to net cash used in operating activities of $3.8 million for the six months ended June 30, 2022. The change was primarily driven by a $2.5 million increase in net loss, adjusted for non-cash items, a $11.1 million increase in the change in accounts payable, and a $4.9 million increase in the change in prepaid expenses and other current assets and prepaid expenses and other assets. These were partially offset by a $6.0 million decrease in the change in accounts receivable, a $3.9 million decrease in the change in accrued compensation, a $3.8 million decrease in the change in deferred revenue, and a $3.6 million decrease in the change in accrued expenses, other current liabilities and other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six months ended June 30, 2023, cash used in investing activities was $8.0 million, which consisted of $7.7 million of capital expenditures on internal-use software and $0.5 million of other capital expenditures, partially offset by a $0.2 million gain on the sale of an asset.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2022, cash used in investing activities was $9.5 million, which consisted of $6.7 million of expenditures on internal-use software and $2.8 million of other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2023, cash provided by financing activities was $1.4 million, which consisted of $2.1 million of borrowings on the Revolving Credit Facility and $0.8 million of net proceeds from the sale of common stock pursuant to our at-the-market offering after deducting commissions and fees. These were partially offset by a $1.3 million repayment on the Revolving Credit Facility and a $0.2 million payment for withholding taxes on the vesting of certain RSUs.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2022, cash provided by financing activities was $3.1 million, which principally consisted of $5.0 million of borrowings under our Revolving Credit Facility and $0.4 million of proceeds from the exercise of stock options, partially offset by the payment of $1.6 million for withholding taxes on the vesting of certain RSUs and $0.6 million of deferred reverse recapitalization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commitments consist of obligations for office space under non-cancelable operating leases with various expiration dates through 2029 and repayment of borrowings under the Revolving Credit Facility and the Notes. Refer to Note 16 to the condensed consolidated financial statements included elsewhere in this Quarterly Report on Form 10-Q for additional details.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2018, concurrent with an investment in a private company, we agreed to guarantee the lease of the investee’s premises in New York. In October 2020, the investee renewed its lease agreement, and our prior guarantee was replaced with a new guarantee of up to $5.4 million. The amount of the guarantee is reduced as the investee makes payments under the lease. As of June 30, 2023, the maximum amount under the guarantee was $0.3 million, and no liability was recognized with respect to the guarantee.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 to Note 9, Note 15, and Note 16 of our condensed consolidated financial statements included elsewhere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prepare our condensed consolidated financial statements and related notes in accordance with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are material differences between these estimates and actual results, our financial condition or operating results would be affected.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Please refer to “Management’s Discussion and Analysis of Financial Condition and Results of Operations” contained in Part II, Item 7 of our Annual Report on Form 10-K for the fiscal year ended December 31, 2022 for a more complete discussion of our critical accounting policies and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 of our condensed consolidated financial statements included elsewhere in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operations both within the U.S. and internationally, and we are exposed to market risks in the ordinary course of our business. These risks include primarily foreign currency exchange, interest rate fluctuation and equity investment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and in particular the recent strengthening of the U.S. dollar against the British pound, Japanese yen, and most other major international currencies, could negatively affect our revenue and results of operations as expressed in U.S. dollars. Fluctuations in foreign currency rates, including the strengthening of the U.S. dollar against the British pound and Japanese yen,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strengthens relative to other currencies. The Company does not enter into foreign currency forward exchange contracts or other derivative financial instruments to hedge the effects of adverse fluctuations in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exposure to interest rates relates primarily to the variable interest component on the Revolving Credit Facility as well as interest earned and market value on money market funds included in our cash and cash equivalents. The effect of a hypothetical 10% change in interest rates applicable to our business would not have a material impact on our condensed consolidated financial statements for the three and six months ended June 30, 2023 or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Risk</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$nil and $3.6 million at June 30, 2023 and December 31, 2022. Refer to Note 5 to the condensed consolidated financial statements for additional details.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reports under the Securities Exchange Act of 1934, as amended (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audit of our consolidated financial statements as of December 31, 2022, we identified material weaknesses in our internal control over financial reporting. A material weakness is a deficiency, or a combination of deficiencies, in internal control over financial reporting such that there is a reasonable possibility that a misstatement of our annual or interim financial statements will not be prevented or detected on a timely basis. BuzzFeed has identified material weaknesses in its internal control over financial reporting that we are currently working to remediate, which relate to: (a) a lack of formalized internal control and segregation of duties in the financial statement close process; (b) ineffective upstream processes for gathering critical data to support formalized assessment and review of certain technical accounting matters; and (c) the selection and development of control activities, including information technology (“IT”) general controls.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2022, management implemented remediation plans and enhanced controls within the financial statement close process. However, certain business process controls did not operate at the appropriate level of precision to prevent or detect a material misstatement. Management is in progress of implementing remediation plans to refine control procedures and enhance documentation to ensure controls operate sufficiently. Although management designed remediation plans in 2022 across its IT general control environment, due to resource constraints and lack of sufficient staff with technical expertise, the necessary IT general controls were partially implemented or not executed consistently.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With the oversight of senior management, we have hired additional accounting personnel with technical accounting, financial reporting and public company experience throughout 2022. However, the process for gathering critical information to support certain technical accounting conclusions is manual and time-intensive. Additionally, management did not maintain sufficient evidence of certain technical accounting assessments and reviews.</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Management is in progress of implementing remediation plans in 2023 which include: (i) refining control procedures and enhancing documentation to ensure controls operate sufficiently and consistently across the financial statement close process; (ii) enhancing upstream processes to streamline data gathering from key business stakeholders,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formalizing documentation of certain technical accounting assessments and conclusions; and (iii) designing and implementing formalized controls within our IT general control environment.</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2023 and will make the changes we determine to be appropriate.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June 30, 2023, the period covered in this report, our disclosure controls and procedures were not effective.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quarter ended June 30, 2023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possibility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Two mass arbitrations (the “Arbitrations”) were initiated before the American Arbitration Association on March 15, 2022 against the Company and certain of its executive officers and directors (together, the “BuzzFeed Defendants”) and Continental Stock Transfer Corporation by 91 individuals previously employed by certain wholly-owned subsidiaries of 890, and BuzzFeed, Inc., a Delaware corporation (“Legacy BuzzFeed” and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of 1933, as amended (the “Securities Act”). The Claimants sought to recover unspecified compensatory damages, an award of costs, and any further appropriate relief.</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 The parties have cross-moved for summary judgment and a hearing on those motions is pending.</w:t>
      </w:r>
    </w:p>
    <w:p>
      <w:pPr>
        <w:spacing w:after="0" w:line="2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does not believe at this time that the final outcome of this matter will have a material adverse effect on its financial position, results of operations, or cash flows.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other legal proceedings in which we are involved, see Note 16 of our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Disclosure about our existing risk factors is set forth in Item 1A, “Risk Factors,” in our Annual Report on Form 10-K for the fiscal year ended December 31, 2022 and in our Quarterly Report on Form 10-Q for the quarter ended March 31, 2023. Our risk factors have not changed materially since March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ind w:left="660"/>
              <w:spacing w:after="0"/>
              <w:rPr>
                <w:sz w:val="20"/>
                <w:szCs w:val="20"/>
                <w:color w:val="auto"/>
              </w:rPr>
            </w:pPr>
            <w:r>
              <w:rPr>
                <w:rFonts w:ascii="Arial" w:cs="Arial" w:eastAsia="Arial" w:hAnsi="Arial"/>
                <w:sz w:val="18"/>
                <w:szCs w:val="18"/>
                <w:color w:val="auto"/>
                <w:w w:val="97"/>
              </w:rPr>
              <w:t>Not applicable.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60" w:type="dxa"/>
            <w:vAlign w:val="bottom"/>
            <w:gridSpan w:val="9"/>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840" w:type="dxa"/>
            <w:vAlign w:val="bottom"/>
          </w:tcPr>
          <w:p>
            <w:pPr>
              <w:jc w:val="center"/>
              <w:spacing w:after="0" w:line="196" w:lineRule="exact"/>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At The Market Offering Agreement, dated as of June 20, 2023, by and between BuzzFeed, Inc. and Craig-Hallum Capital Group</w:t>
              </w:r>
            </w:hyperlink>
          </w:p>
        </w:tc>
        <w:tc>
          <w:tcPr>
            <w:tcW w:w="20" w:type="dxa"/>
            <w:vAlign w:val="bottom"/>
          </w:tcPr>
          <w:p>
            <w:pPr>
              <w:spacing w:after="0"/>
              <w:rPr>
                <w:sz w:val="17"/>
                <w:szCs w:val="17"/>
                <w:color w:val="auto"/>
              </w:rPr>
            </w:pPr>
          </w:p>
        </w:tc>
      </w:tr>
      <w:tr>
        <w:trPr>
          <w:trHeight w:val="19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gridSpan w:val="11"/>
          </w:tcPr>
          <w:p>
            <w:pPr>
              <w:spacing w:after="0" w:line="196"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LLC (incorporated by reference to Exhibit 1.1 to the Company’s Current Report on Form 8-K (File No. 001-39877) filed on</w:t>
              </w:r>
            </w:hyperlink>
          </w:p>
        </w:tc>
      </w:tr>
      <w:tr>
        <w:trPr>
          <w:trHeight w:val="19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June 20, 2023).</w:t>
              </w:r>
            </w:hyperlink>
          </w:p>
        </w:tc>
        <w:tc>
          <w:tcPr>
            <w:tcW w:w="360" w:type="dxa"/>
            <w:vAlign w:val="bottom"/>
            <w:gridSpan w:val="3"/>
          </w:tcPr>
          <w:p>
            <w:pPr>
              <w:spacing w:after="0"/>
              <w:rPr>
                <w:sz w:val="17"/>
                <w:szCs w:val="17"/>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40" w:type="dxa"/>
            <w:vAlign w:val="bottom"/>
            <w:tcBorders>
              <w:bottom w:val="single" w:sz="8" w:color="0000FF"/>
            </w:tcBorders>
            <w:gridSpan w:val="9"/>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Agreement and Plan of Merger, dated as of June 24, 2021, by and among 890 5th Avenue Partners, Inc., Bolt Merger Sub I, Inc.,</w:t>
              </w:r>
            </w:hyperlink>
          </w:p>
        </w:tc>
        <w:tc>
          <w:tcPr>
            <w:tcW w:w="40" w:type="dxa"/>
            <w:vAlign w:val="bottom"/>
            <w:gridSpan w:val="2"/>
          </w:tcPr>
          <w:p>
            <w:pPr>
              <w:spacing w:after="0"/>
              <w:rPr>
                <w:sz w:val="21"/>
                <w:szCs w:val="21"/>
                <w:color w:val="auto"/>
              </w:rPr>
            </w:pPr>
          </w:p>
        </w:tc>
      </w:tr>
      <w:tr>
        <w:trPr>
          <w:trHeight w:val="19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Bolt Merger Sub II, Inc., and BuzzFeed, Inc.(incorporated by reference to Exhibit 2.1 to the Company’s Current Report on Form</w:t>
              </w:r>
            </w:hyperlink>
          </w:p>
        </w:tc>
        <w:tc>
          <w:tcPr>
            <w:tcW w:w="20" w:type="dxa"/>
            <w:vAlign w:val="bottom"/>
          </w:tcPr>
          <w:p>
            <w:pPr>
              <w:spacing w:after="0"/>
              <w:rPr>
                <w:sz w:val="17"/>
                <w:szCs w:val="17"/>
                <w:color w:val="auto"/>
              </w:rPr>
            </w:pPr>
          </w:p>
        </w:tc>
      </w:tr>
      <w:tr>
        <w:trPr>
          <w:trHeight w:val="19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8-K (File No. 001-39877) filed on June 24, 2021).</w:t>
              </w:r>
            </w:hyperlink>
          </w:p>
        </w:tc>
        <w:tc>
          <w:tcPr>
            <w:tcW w:w="5660" w:type="dxa"/>
            <w:vAlign w:val="bottom"/>
            <w:gridSpan w:val="9"/>
          </w:tcPr>
          <w:p>
            <w:pPr>
              <w:spacing w:after="0"/>
              <w:rPr>
                <w:sz w:val="17"/>
                <w:szCs w:val="17"/>
                <w:color w:val="auto"/>
              </w:rPr>
            </w:pPr>
          </w:p>
        </w:tc>
      </w:tr>
      <w:tr>
        <w:trPr>
          <w:trHeight w:val="250"/>
        </w:trPr>
        <w:tc>
          <w:tcPr>
            <w:tcW w:w="18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80" w:type="dxa"/>
            <w:vAlign w:val="bottom"/>
            <w:gridSpan w:val="11"/>
          </w:tcPr>
          <w:p>
            <w:pPr>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Amendment No. 1 to Agreement and Plan of Merger, dated as of October 28, 2021, by and among 890 5th Avenue Partners,</w:t>
              </w:r>
            </w:hyperlink>
          </w:p>
        </w:tc>
      </w:tr>
      <w:tr>
        <w:trPr>
          <w:trHeight w:val="19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00" w:type="dxa"/>
            <w:vAlign w:val="bottom"/>
            <w:tcBorders>
              <w:top w:val="single" w:sz="8" w:color="0000FF"/>
            </w:tcBorders>
            <w:gridSpan w:val="7"/>
          </w:tcPr>
          <w:p>
            <w:pPr>
              <w:spacing w:after="0" w:line="19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Inc., Bolt Merger Sub I, Inc., Bolt Merger Sub II, Inc., and BuzzFeed, Inc. (incorporated by reference to Exhibit 2.2 to the</w:t>
              </w:r>
            </w:hyperlink>
          </w:p>
        </w:tc>
        <w:tc>
          <w:tcPr>
            <w:tcW w:w="380" w:type="dxa"/>
            <w:vAlign w:val="bottom"/>
            <w:gridSpan w:val="4"/>
          </w:tcPr>
          <w:p>
            <w:pPr>
              <w:spacing w:after="0"/>
              <w:rPr>
                <w:sz w:val="17"/>
                <w:szCs w:val="17"/>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r>
      <w:tr>
        <w:trPr>
          <w:trHeight w:val="19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Company’s Registration Statement on Form S-4/A (File No. 001-39877) filed on October 29, 2021).</w:t>
              </w:r>
            </w:hyperlink>
          </w:p>
        </w:tc>
        <w:tc>
          <w:tcPr>
            <w:tcW w:w="2060" w:type="dxa"/>
            <w:vAlign w:val="bottom"/>
            <w:gridSpan w:val="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640" w:type="dxa"/>
            <w:vAlign w:val="bottom"/>
          </w:tcPr>
          <w:p>
            <w:pPr>
              <w:jc w:val="center"/>
              <w:ind w:right="350"/>
              <w:spacing w:after="0"/>
              <w:rPr>
                <w:sz w:val="20"/>
                <w:szCs w:val="20"/>
                <w:color w:val="auto"/>
              </w:rPr>
            </w:pPr>
            <w:r>
              <w:rPr>
                <w:rFonts w:ascii="Arial" w:cs="Arial" w:eastAsia="Arial" w:hAnsi="Arial"/>
                <w:sz w:val="18"/>
                <w:szCs w:val="18"/>
                <w:color w:val="auto"/>
                <w:w w:val="95"/>
              </w:rPr>
              <w:t>2.3†*</w:t>
            </w:r>
          </w:p>
        </w:tc>
        <w:tc>
          <w:tcPr>
            <w:tcW w:w="8820" w:type="dxa"/>
            <w:vAlign w:val="bottom"/>
            <w:tcBorders>
              <w:bottom w:val="single" w:sz="8" w:color="0000FF"/>
            </w:tcBorders>
            <w:gridSpan w:val="27"/>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Membership Interest Purchase Agreement, dated as of March 27, 2021, by and among BuzzFeed, Inc., CM Partners, LLC,</w:t>
              </w:r>
            </w:hyperlink>
          </w:p>
        </w:tc>
        <w:tc>
          <w:tcPr>
            <w:tcW w:w="400" w:type="dxa"/>
            <w:vAlign w:val="bottom"/>
            <w:gridSpan w:val="7"/>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9220" w:type="dxa"/>
            <w:vAlign w:val="bottom"/>
            <w:gridSpan w:val="34"/>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Complex Media, Inc., Verizon CMP Holdings LLC and HDS II, Inc. (incorporated by reference to Exhibit 2.2 to the Company’s</w:t>
              </w:r>
            </w:hyperlink>
          </w:p>
        </w:tc>
      </w:tr>
      <w:tr>
        <w:trPr>
          <w:trHeight w:val="20"/>
        </w:trPr>
        <w:tc>
          <w:tcPr>
            <w:tcW w:w="1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220" w:type="dxa"/>
            <w:vAlign w:val="bottom"/>
            <w:gridSpan w:val="34"/>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Registration Statement on Form S-4 (File No. 001-39877) filed on July 30, 2021).</w:t>
              </w:r>
            </w:hyperlink>
          </w:p>
        </w:tc>
      </w:tr>
      <w:tr>
        <w:trPr>
          <w:trHeight w:val="20"/>
        </w:trPr>
        <w:tc>
          <w:tcPr>
            <w:tcW w:w="1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87"/>
              </w:rPr>
              <w:t>2.4</w:t>
            </w:r>
          </w:p>
        </w:tc>
        <w:tc>
          <w:tcPr>
            <w:tcW w:w="9060" w:type="dxa"/>
            <w:vAlign w:val="bottom"/>
            <w:tcBorders>
              <w:bottom w:val="single" w:sz="8" w:color="0000FF"/>
            </w:tcBorders>
            <w:gridSpan w:val="31"/>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Amendment No. 1 to the Membership Interest Purchase Agreement, dated as of June 24, 2021, by and among BuzzFeed, Inc.,</w:t>
              </w:r>
            </w:hyperlink>
          </w:p>
        </w:tc>
        <w:tc>
          <w:tcPr>
            <w:tcW w:w="160" w:type="dxa"/>
            <w:vAlign w:val="bottom"/>
            <w:gridSpan w:val="3"/>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220" w:type="dxa"/>
            <w:vAlign w:val="bottom"/>
            <w:gridSpan w:val="34"/>
          </w:tcPr>
          <w:p>
            <w:pPr>
              <w:spacing w:after="0" w:line="19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CM Partners, LLC, Complex Media, Inc., Verizon CMP Holdings LLC and HDS II, Inc. (incorporated by reference to Exhibit</w:t>
              </w:r>
            </w:hyperlink>
          </w:p>
        </w:tc>
      </w:tr>
      <w:tr>
        <w:trPr>
          <w:trHeight w:val="20"/>
        </w:trPr>
        <w:tc>
          <w:tcPr>
            <w:tcW w:w="1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75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2.</w:t>
              </w:r>
              <w:r>
                <w:rPr>
                  <w:rFonts w:ascii="Arial" w:cs="Arial" w:eastAsia="Arial" w:hAnsi="Arial"/>
                  <w:sz w:val="18"/>
                  <w:szCs w:val="18"/>
                  <w:u w:val="single" w:color="auto"/>
                  <w:color w:val="0000FF"/>
                  <w:w w:val="91"/>
                </w:rPr>
                <w:t>3</w:t>
              </w:r>
              <w:r>
                <w:rPr>
                  <w:rFonts w:ascii="Arial" w:cs="Arial" w:eastAsia="Arial" w:hAnsi="Arial"/>
                  <w:sz w:val="18"/>
                  <w:szCs w:val="18"/>
                  <w:color w:val="0000FF"/>
                  <w:w w:val="91"/>
                </w:rPr>
                <w:t xml:space="preserve"> to the Company’s Registration Statement on Form S-4 (File No. 001-39877) filed on July 30, 2021).</w:t>
              </w:r>
            </w:hyperlink>
          </w:p>
        </w:tc>
        <w:tc>
          <w:tcPr>
            <w:tcW w:w="1720" w:type="dxa"/>
            <w:vAlign w:val="bottom"/>
            <w:gridSpan w:val="13"/>
          </w:tcPr>
          <w:p>
            <w:pPr>
              <w:spacing w:after="0"/>
              <w:rPr>
                <w:sz w:val="17"/>
                <w:szCs w:val="17"/>
                <w:color w:val="auto"/>
              </w:rPr>
            </w:pPr>
          </w:p>
        </w:tc>
      </w:tr>
      <w:tr>
        <w:trPr>
          <w:trHeight w:val="25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87"/>
              </w:rPr>
              <w:t>3.1</w:t>
            </w:r>
          </w:p>
        </w:tc>
        <w:tc>
          <w:tcPr>
            <w:tcW w:w="9220" w:type="dxa"/>
            <w:vAlign w:val="bottom"/>
            <w:gridSpan w:val="34"/>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 xml:space="preserve">Second Amended and Restated Certificate of Incorporation of BuzzFeed, Inc., </w:t>
              </w:r>
              <w:r>
                <w:rPr>
                  <w:rFonts w:ascii="Arial" w:cs="Arial" w:eastAsia="Arial" w:hAnsi="Arial"/>
                  <w:sz w:val="18"/>
                  <w:szCs w:val="18"/>
                  <w:color w:val="0000EE"/>
                  <w:w w:val="92"/>
                </w:rPr>
                <w:t>(incorporated by reference to Exhibit 3.1 to the</w:t>
              </w:r>
            </w:hyperlink>
          </w:p>
        </w:tc>
      </w:tr>
      <w:tr>
        <w:trPr>
          <w:trHeight w:val="20"/>
        </w:trPr>
        <w:tc>
          <w:tcPr>
            <w:tcW w:w="1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66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Company’s Current Report on Form 8-K (File No. 001-39877) filed on December 3, 2021).</w:t>
              </w:r>
            </w:hyperlink>
          </w:p>
        </w:tc>
        <w:tc>
          <w:tcPr>
            <w:tcW w:w="2620" w:type="dxa"/>
            <w:vAlign w:val="bottom"/>
            <w:gridSpan w:val="17"/>
          </w:tcPr>
          <w:p>
            <w:pPr>
              <w:spacing w:after="0"/>
              <w:rPr>
                <w:sz w:val="17"/>
                <w:szCs w:val="17"/>
                <w:color w:val="auto"/>
              </w:rPr>
            </w:pPr>
          </w:p>
        </w:tc>
      </w:tr>
      <w:tr>
        <w:trPr>
          <w:trHeight w:val="25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87"/>
              </w:rPr>
              <w:t>3.2</w:t>
            </w:r>
          </w:p>
        </w:tc>
        <w:tc>
          <w:tcPr>
            <w:tcW w:w="9220" w:type="dxa"/>
            <w:vAlign w:val="bottom"/>
            <w:gridSpan w:val="34"/>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Certificate of Change of Registered Agent and/or Registered Office, dated as of March 13, 2023 (incorporated by reference to</w:t>
              </w:r>
            </w:hyperlink>
          </w:p>
        </w:tc>
      </w:tr>
      <w:tr>
        <w:trPr>
          <w:trHeight w:val="20"/>
        </w:trPr>
        <w:tc>
          <w:tcPr>
            <w:tcW w:w="1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2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220" w:type="dxa"/>
            <w:vAlign w:val="bottom"/>
            <w:gridSpan w:val="34"/>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Exhibit 3.1 to the Company's Current Report on Form 8-K (File No. 001-39877) filed on March 15, 2023).</w:t>
              </w:r>
            </w:hyperlink>
          </w:p>
        </w:tc>
      </w:tr>
      <w:tr>
        <w:trPr>
          <w:trHeight w:val="20"/>
        </w:trPr>
        <w:tc>
          <w:tcPr>
            <w:tcW w:w="1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80" w:type="dxa"/>
            <w:vAlign w:val="bottom"/>
            <w:gridSpan w:val="11"/>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87"/>
              </w:rPr>
              <w:t>3.3</w:t>
            </w:r>
          </w:p>
        </w:tc>
        <w:tc>
          <w:tcPr>
            <w:tcW w:w="9220" w:type="dxa"/>
            <w:vAlign w:val="bottom"/>
            <w:gridSpan w:val="34"/>
          </w:tcPr>
          <w:p>
            <w:pPr>
              <w:spacing w:after="0"/>
              <w:rPr>
                <w:sz w:val="20"/>
                <w:szCs w:val="20"/>
                <w:color w:val="auto"/>
              </w:rPr>
            </w:pPr>
            <w:r>
              <w:rPr>
                <w:rFonts w:ascii="Arial" w:cs="Arial" w:eastAsia="Arial" w:hAnsi="Arial"/>
                <w:sz w:val="18"/>
                <w:szCs w:val="18"/>
                <w:color w:val="0000FF"/>
                <w:w w:val="94"/>
              </w:rPr>
              <w:t>Certificate of Amendment of Second Amended and Restated Certificate of Incorporation of BuzzFeed, Inc. filed on June 1,</w:t>
            </w:r>
          </w:p>
        </w:tc>
      </w:tr>
      <w:tr>
        <w:trPr>
          <w:trHeight w:val="196"/>
        </w:trPr>
        <w:tc>
          <w:tcPr>
            <w:tcW w:w="16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2023.</w:t>
            </w:r>
          </w:p>
        </w:tc>
        <w:tc>
          <w:tcPr>
            <w:tcW w:w="3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87"/>
              </w:rPr>
              <w:t>3.4</w:t>
            </w:r>
          </w:p>
        </w:tc>
        <w:tc>
          <w:tcPr>
            <w:tcW w:w="9220" w:type="dxa"/>
            <w:vAlign w:val="bottom"/>
            <w:gridSpan w:val="34"/>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Restated Bylaws of BuzzFeed, Inc. (incorporated by reference to Exhibit 3.2 to the Company’s Current Report on Form 8-K</w:t>
              </w:r>
            </w:hyperlink>
          </w:p>
        </w:tc>
      </w:tr>
      <w:tr>
        <w:trPr>
          <w:trHeight w:val="20"/>
        </w:trPr>
        <w:tc>
          <w:tcPr>
            <w:tcW w:w="16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80" w:type="dxa"/>
            <w:vAlign w:val="bottom"/>
            <w:gridSpan w:val="11"/>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36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(File No. 001-39877) filed on December 9, 2021).</w:t>
              </w:r>
            </w:hyperlink>
          </w:p>
        </w:tc>
        <w:tc>
          <w:tcPr>
            <w:tcW w:w="5600" w:type="dxa"/>
            <w:vAlign w:val="bottom"/>
            <w:gridSpan w:val="26"/>
          </w:tcPr>
          <w:p>
            <w:pPr>
              <w:spacing w:after="0"/>
              <w:rPr>
                <w:sz w:val="17"/>
                <w:szCs w:val="17"/>
                <w:color w:val="auto"/>
              </w:rPr>
            </w:pPr>
          </w:p>
        </w:tc>
      </w:tr>
      <w:tr>
        <w:trPr>
          <w:trHeight w:val="25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87"/>
              </w:rPr>
              <w:t>4.1</w:t>
            </w:r>
          </w:p>
        </w:tc>
        <w:tc>
          <w:tcPr>
            <w:tcW w:w="9220" w:type="dxa"/>
            <w:vAlign w:val="bottom"/>
            <w:gridSpan w:val="34"/>
          </w:tcPr>
          <w:p>
            <w:pPr>
              <w:spacing w:after="0"/>
              <w:rPr>
                <w:sz w:val="20"/>
                <w:szCs w:val="20"/>
                <w:color w:val="auto"/>
              </w:rPr>
            </w:pPr>
            <w:r>
              <w:rPr>
                <w:rFonts w:ascii="Arial" w:cs="Arial" w:eastAsia="Arial" w:hAnsi="Arial"/>
                <w:sz w:val="18"/>
                <w:szCs w:val="18"/>
                <w:color w:val="0000FF"/>
                <w:w w:val="92"/>
              </w:rPr>
              <w:t>First Supplemental Indenture, dated as of July 10, 2023, to the Indenture, dated December 3, 2021 between BuzzFeed, Inc.,</w:t>
            </w:r>
          </w:p>
        </w:tc>
      </w:tr>
      <w:tr>
        <w:trPr>
          <w:trHeight w:val="196"/>
        </w:trPr>
        <w:tc>
          <w:tcPr>
            <w:tcW w:w="1640" w:type="dxa"/>
            <w:vAlign w:val="bottom"/>
          </w:tcPr>
          <w:p>
            <w:pPr>
              <w:spacing w:after="0"/>
              <w:rPr>
                <w:sz w:val="17"/>
                <w:szCs w:val="17"/>
                <w:color w:val="auto"/>
              </w:rPr>
            </w:pPr>
          </w:p>
        </w:tc>
        <w:tc>
          <w:tcPr>
            <w:tcW w:w="8940" w:type="dxa"/>
            <w:vAlign w:val="bottom"/>
            <w:tcBorders>
              <w:top w:val="single" w:sz="8" w:color="0000FF"/>
            </w:tcBorders>
            <w:gridSpan w:val="29"/>
          </w:tcPr>
          <w:p>
            <w:pPr>
              <w:spacing w:after="0" w:line="196" w:lineRule="exact"/>
              <w:rPr>
                <w:sz w:val="20"/>
                <w:szCs w:val="20"/>
                <w:color w:val="auto"/>
              </w:rPr>
            </w:pPr>
            <w:r>
              <w:rPr>
                <w:rFonts w:ascii="Arial" w:cs="Arial" w:eastAsia="Arial" w:hAnsi="Arial"/>
                <w:sz w:val="18"/>
                <w:szCs w:val="18"/>
                <w:color w:val="0000FF"/>
              </w:rPr>
              <w:t>BuzzFeed Canada, Inc., and Wilmington Savings Fund Society, a Federal Savings Bank, as Trustee.</w:t>
            </w:r>
          </w:p>
        </w:tc>
        <w:tc>
          <w:tcPr>
            <w:tcW w:w="280" w:type="dxa"/>
            <w:vAlign w:val="bottom"/>
            <w:gridSpan w:val="5"/>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80" w:type="dxa"/>
            <w:vAlign w:val="bottom"/>
            <w:gridSpan w:val="11"/>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tcPr>
          <w:p>
            <w:pPr>
              <w:jc w:val="center"/>
              <w:ind w:right="350"/>
              <w:spacing w:after="0"/>
              <w:rPr>
                <w:sz w:val="20"/>
                <w:szCs w:val="20"/>
                <w:color w:val="auto"/>
              </w:rPr>
            </w:pPr>
            <w:r>
              <w:rPr>
                <w:rFonts w:ascii="Arial" w:cs="Arial" w:eastAsia="Arial" w:hAnsi="Arial"/>
                <w:sz w:val="18"/>
                <w:szCs w:val="18"/>
                <w:color w:val="auto"/>
                <w:w w:val="91"/>
              </w:rPr>
              <w:t>10.1</w:t>
            </w:r>
          </w:p>
        </w:tc>
        <w:tc>
          <w:tcPr>
            <w:tcW w:w="9220" w:type="dxa"/>
            <w:vAlign w:val="bottom"/>
            <w:gridSpan w:val="34"/>
          </w:tcPr>
          <w:p>
            <w:pPr>
              <w:spacing w:after="0"/>
              <w:rPr>
                <w:rFonts w:ascii="Arial" w:cs="Arial" w:eastAsia="Arial" w:hAnsi="Arial"/>
                <w:sz w:val="18"/>
                <w:szCs w:val="18"/>
                <w:color w:val="0000FF"/>
                <w:w w:val="89"/>
              </w:rPr>
            </w:pPr>
            <w:hyperlink r:id="rId80">
              <w:r>
                <w:rPr>
                  <w:rFonts w:ascii="Arial" w:cs="Arial" w:eastAsia="Arial" w:hAnsi="Arial"/>
                  <w:sz w:val="18"/>
                  <w:szCs w:val="18"/>
                  <w:color w:val="0000FF"/>
                  <w:w w:val="89"/>
                </w:rPr>
                <w:t>Joinder Agreement, dated May 10, 2023, to the Amended and Restated Loan and Security Agreement, dated December 3, 2021,</w:t>
              </w:r>
            </w:hyperlink>
          </w:p>
        </w:tc>
      </w:tr>
      <w:tr>
        <w:trPr>
          <w:trHeight w:val="196"/>
        </w:trPr>
        <w:tc>
          <w:tcPr>
            <w:tcW w:w="1640" w:type="dxa"/>
            <w:vAlign w:val="bottom"/>
          </w:tcPr>
          <w:p>
            <w:pPr>
              <w:spacing w:after="0"/>
              <w:rPr>
                <w:sz w:val="17"/>
                <w:szCs w:val="17"/>
                <w:color w:val="auto"/>
              </w:rPr>
            </w:pPr>
          </w:p>
        </w:tc>
        <w:tc>
          <w:tcPr>
            <w:tcW w:w="860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by and among BuzzFeed, Inc., the borrowers thereto, the guarantors thereto and White Oak Commercial Finance, LLC,</w:t>
              </w:r>
            </w:hyperlink>
          </w:p>
        </w:tc>
        <w:tc>
          <w:tcPr>
            <w:tcW w:w="58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9220" w:type="dxa"/>
            <w:vAlign w:val="bottom"/>
            <w:gridSpan w:val="34"/>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(incorporated by reference to Exhibit 10.3 to the Company’s Quarterly Report on Form 10-Q (File No.001-39877) filed on May</w:t>
              </w:r>
            </w:hyperlink>
          </w:p>
        </w:tc>
      </w:tr>
      <w:tr>
        <w:trPr>
          <w:trHeight w:val="196"/>
        </w:trPr>
        <w:tc>
          <w:tcPr>
            <w:tcW w:w="1640" w:type="dxa"/>
            <w:vAlign w:val="bottom"/>
          </w:tcPr>
          <w:p>
            <w:pPr>
              <w:spacing w:after="0"/>
              <w:rPr>
                <w:sz w:val="17"/>
                <w:szCs w:val="17"/>
                <w:color w:val="auto"/>
              </w:rPr>
            </w:pPr>
          </w:p>
        </w:tc>
        <w:tc>
          <w:tcPr>
            <w:tcW w:w="21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10, 2023)</w:t>
              </w:r>
              <w:r>
                <w:rPr>
                  <w:rFonts w:ascii="Arial" w:cs="Arial" w:eastAsia="Arial" w:hAnsi="Arial"/>
                  <w:sz w:val="18"/>
                  <w:szCs w:val="18"/>
                  <w:u w:val="single" w:color="auto"/>
                  <w:color w:val="0000FF"/>
                </w:rPr>
                <w:t>.</w:t>
              </w:r>
            </w:hyperlink>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4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1640" w:type="dxa"/>
            <w:vAlign w:val="bottom"/>
          </w:tcPr>
          <w:p>
            <w:pPr>
              <w:jc w:val="center"/>
              <w:ind w:right="350"/>
              <w:spacing w:after="0"/>
              <w:rPr>
                <w:sz w:val="20"/>
                <w:szCs w:val="20"/>
                <w:color w:val="auto"/>
              </w:rPr>
            </w:pPr>
            <w:r>
              <w:rPr>
                <w:rFonts w:ascii="Arial" w:cs="Arial" w:eastAsia="Arial" w:hAnsi="Arial"/>
                <w:sz w:val="18"/>
                <w:szCs w:val="18"/>
                <w:color w:val="auto"/>
                <w:w w:val="91"/>
              </w:rPr>
              <w:t>10.2</w:t>
            </w:r>
          </w:p>
        </w:tc>
        <w:tc>
          <w:tcPr>
            <w:tcW w:w="9220" w:type="dxa"/>
            <w:vAlign w:val="bottom"/>
            <w:gridSpan w:val="34"/>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Second Amendment, dated June 29, 2023, to the Amended and Restated Loan and Security Agreement, dated December 3,</w:t>
              </w:r>
            </w:hyperlink>
          </w:p>
        </w:tc>
      </w:tr>
      <w:tr>
        <w:trPr>
          <w:trHeight w:val="20"/>
        </w:trPr>
        <w:tc>
          <w:tcPr>
            <w:tcW w:w="16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4440" w:type="dxa"/>
            <w:vAlign w:val="bottom"/>
            <w:gridSpan w:val="1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00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2021, by and among BuzzFeed, Inc., the borrowers thereto, the guarantors thereto and White Oak Commercial Finance, LLC</w:t>
              </w:r>
            </w:hyperlink>
          </w:p>
        </w:tc>
        <w:tc>
          <w:tcPr>
            <w:tcW w:w="220" w:type="dxa"/>
            <w:vAlign w:val="bottom"/>
            <w:gridSpan w:val="4"/>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9220" w:type="dxa"/>
            <w:vAlign w:val="bottom"/>
            <w:gridSpan w:val="34"/>
          </w:tcPr>
          <w:p>
            <w:pPr>
              <w:spacing w:after="0" w:line="196" w:lineRule="exact"/>
              <w:rPr>
                <w:rFonts w:ascii="Arial" w:cs="Arial" w:eastAsia="Arial" w:hAnsi="Arial"/>
                <w:sz w:val="18"/>
                <w:szCs w:val="18"/>
                <w:color w:val="0000FF"/>
                <w:w w:val="93"/>
              </w:rPr>
            </w:pPr>
            <w:hyperlink r:id="rId81">
              <w:r>
                <w:rPr>
                  <w:rFonts w:ascii="Arial" w:cs="Arial" w:eastAsia="Arial" w:hAnsi="Arial"/>
                  <w:sz w:val="18"/>
                  <w:szCs w:val="18"/>
                  <w:color w:val="0000FF"/>
                  <w:w w:val="93"/>
                </w:rPr>
                <w:t>(incorporated by reference to Exhibit 10.1 to the Company’s Current Report on Form 8-K (File No. 001-39877) filed on June</w:t>
              </w:r>
            </w:hyperlink>
          </w:p>
        </w:tc>
      </w:tr>
      <w:tr>
        <w:trPr>
          <w:trHeight w:val="196"/>
        </w:trPr>
        <w:tc>
          <w:tcPr>
            <w:tcW w:w="16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81">
              <w:r>
                <w:rPr>
                  <w:rFonts w:ascii="Arial" w:cs="Arial" w:eastAsia="Arial" w:hAnsi="Arial"/>
                  <w:sz w:val="18"/>
                  <w:szCs w:val="18"/>
                  <w:color w:val="0000FF"/>
                  <w:w w:val="88"/>
                </w:rPr>
                <w:t>30, 2023).</w:t>
              </w:r>
            </w:hyperlink>
          </w:p>
        </w:tc>
        <w:tc>
          <w:tcPr>
            <w:tcW w:w="1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640" w:type="dxa"/>
            <w:vAlign w:val="bottom"/>
          </w:tcPr>
          <w:p>
            <w:pPr>
              <w:jc w:val="center"/>
              <w:ind w:right="350"/>
              <w:spacing w:after="0"/>
              <w:rPr>
                <w:sz w:val="20"/>
                <w:szCs w:val="20"/>
                <w:color w:val="auto"/>
              </w:rPr>
            </w:pPr>
            <w:r>
              <w:rPr>
                <w:rFonts w:ascii="Arial" w:cs="Arial" w:eastAsia="Arial" w:hAnsi="Arial"/>
                <w:sz w:val="18"/>
                <w:szCs w:val="18"/>
                <w:color w:val="auto"/>
                <w:w w:val="91"/>
              </w:rPr>
              <w:t>31.1</w:t>
            </w:r>
          </w:p>
        </w:tc>
        <w:tc>
          <w:tcPr>
            <w:tcW w:w="882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1"/>
              </w:rPr>
              <w:t>Certification of Principal Executive Officer pursuant to Rule 13a-14(a) and 15d-14(a) under the Exchange Act, as adopted</w:t>
            </w:r>
          </w:p>
        </w:tc>
        <w:tc>
          <w:tcPr>
            <w:tcW w:w="400" w:type="dxa"/>
            <w:vAlign w:val="bottom"/>
            <w:gridSpan w:val="7"/>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220" w:type="dxa"/>
            <w:vAlign w:val="bottom"/>
            <w:gridSpan w:val="34"/>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r>
      <w:tr>
        <w:trPr>
          <w:trHeight w:val="20"/>
        </w:trPr>
        <w:tc>
          <w:tcPr>
            <w:tcW w:w="164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44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250"/>
        </w:trPr>
        <w:tc>
          <w:tcPr>
            <w:tcW w:w="1640" w:type="dxa"/>
            <w:vAlign w:val="bottom"/>
          </w:tcPr>
          <w:p>
            <w:pPr>
              <w:jc w:val="center"/>
              <w:ind w:right="350"/>
              <w:spacing w:after="0"/>
              <w:rPr>
                <w:sz w:val="20"/>
                <w:szCs w:val="20"/>
                <w:color w:val="auto"/>
              </w:rPr>
            </w:pPr>
            <w:r>
              <w:rPr>
                <w:rFonts w:ascii="Arial" w:cs="Arial" w:eastAsia="Arial" w:hAnsi="Arial"/>
                <w:sz w:val="18"/>
                <w:szCs w:val="18"/>
                <w:color w:val="auto"/>
                <w:w w:val="91"/>
              </w:rPr>
              <w:t>31.2</w:t>
            </w:r>
          </w:p>
        </w:tc>
        <w:tc>
          <w:tcPr>
            <w:tcW w:w="876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1"/>
              </w:rPr>
              <w:t>Certification of Principal Financial Officer pursuant to Rule 13a-14(a) and 15d-14(a) under the Exchange Act, as adopted</w:t>
            </w:r>
          </w:p>
        </w:tc>
        <w:tc>
          <w:tcPr>
            <w:tcW w:w="460" w:type="dxa"/>
            <w:vAlign w:val="bottom"/>
            <w:gridSpan w:val="9"/>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220" w:type="dxa"/>
            <w:vAlign w:val="bottom"/>
            <w:gridSpan w:val="34"/>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r>
      <w:tr>
        <w:trPr>
          <w:trHeight w:val="20"/>
        </w:trPr>
        <w:tc>
          <w:tcPr>
            <w:tcW w:w="164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444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250"/>
        </w:trPr>
        <w:tc>
          <w:tcPr>
            <w:tcW w:w="1640" w:type="dxa"/>
            <w:vAlign w:val="bottom"/>
          </w:tcPr>
          <w:p>
            <w:pPr>
              <w:jc w:val="center"/>
              <w:ind w:right="350"/>
              <w:spacing w:after="0"/>
              <w:rPr>
                <w:sz w:val="20"/>
                <w:szCs w:val="20"/>
                <w:color w:val="auto"/>
              </w:rPr>
            </w:pPr>
            <w:r>
              <w:rPr>
                <w:rFonts w:ascii="Arial" w:cs="Arial" w:eastAsia="Arial" w:hAnsi="Arial"/>
                <w:sz w:val="18"/>
                <w:szCs w:val="18"/>
                <w:color w:val="auto"/>
                <w:w w:val="88"/>
              </w:rPr>
              <w:t>32.1#</w:t>
            </w:r>
          </w:p>
        </w:tc>
        <w:tc>
          <w:tcPr>
            <w:tcW w:w="9220" w:type="dxa"/>
            <w:vAlign w:val="bottom"/>
            <w:gridSpan w:val="34"/>
          </w:tcPr>
          <w:p>
            <w:pPr>
              <w:spacing w:after="0"/>
              <w:rPr>
                <w:sz w:val="20"/>
                <w:szCs w:val="20"/>
                <w:color w:val="auto"/>
              </w:rPr>
            </w:pPr>
            <w:r>
              <w:rPr>
                <w:rFonts w:ascii="Arial" w:cs="Arial" w:eastAsia="Arial" w:hAnsi="Arial"/>
                <w:sz w:val="18"/>
                <w:szCs w:val="18"/>
                <w:color w:val="0000FF"/>
                <w:w w:val="95"/>
              </w:rPr>
              <w:t>Certification of Principal Executive Officer pursuant to 18 U.S.C. Section 1350, as adopted pursuant to Section 906 of the</w:t>
            </w:r>
          </w:p>
        </w:tc>
      </w:tr>
      <w:tr>
        <w:trPr>
          <w:trHeight w:val="196"/>
        </w:trPr>
        <w:tc>
          <w:tcPr>
            <w:tcW w:w="164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1"/>
              </w:rPr>
              <w:t>Sarbanes-Oxley Act of 2002.</w:t>
            </w:r>
          </w:p>
        </w:tc>
        <w:tc>
          <w:tcPr>
            <w:tcW w:w="6660" w:type="dxa"/>
            <w:vAlign w:val="bottom"/>
            <w:tcBorders>
              <w:top w:val="single" w:sz="8" w:color="0000FF"/>
            </w:tcBorders>
            <w:gridSpan w:val="21"/>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250"/>
        </w:trPr>
        <w:tc>
          <w:tcPr>
            <w:tcW w:w="1640" w:type="dxa"/>
            <w:vAlign w:val="bottom"/>
          </w:tcPr>
          <w:p>
            <w:pPr>
              <w:jc w:val="center"/>
              <w:ind w:right="350"/>
              <w:spacing w:after="0"/>
              <w:rPr>
                <w:sz w:val="20"/>
                <w:szCs w:val="20"/>
                <w:color w:val="auto"/>
              </w:rPr>
            </w:pPr>
            <w:r>
              <w:rPr>
                <w:rFonts w:ascii="Arial" w:cs="Arial" w:eastAsia="Arial" w:hAnsi="Arial"/>
                <w:sz w:val="18"/>
                <w:szCs w:val="18"/>
                <w:color w:val="auto"/>
                <w:w w:val="88"/>
              </w:rPr>
              <w:t>32.2#</w:t>
            </w:r>
          </w:p>
        </w:tc>
        <w:tc>
          <w:tcPr>
            <w:tcW w:w="874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w:t>
            </w:r>
          </w:p>
        </w:tc>
        <w:tc>
          <w:tcPr>
            <w:tcW w:w="480" w:type="dxa"/>
            <w:vAlign w:val="bottom"/>
            <w:gridSpan w:val="10"/>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21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7120" w:type="dxa"/>
            <w:vAlign w:val="bottom"/>
            <w:gridSpan w:val="30"/>
          </w:tcPr>
          <w:p>
            <w:pPr>
              <w:spacing w:after="0"/>
              <w:rPr>
                <w:sz w:val="17"/>
                <w:szCs w:val="17"/>
                <w:color w:val="auto"/>
              </w:rPr>
            </w:pPr>
          </w:p>
        </w:tc>
      </w:tr>
      <w:tr>
        <w:trPr>
          <w:trHeight w:val="291"/>
        </w:trPr>
        <w:tc>
          <w:tcPr>
            <w:tcW w:w="1640" w:type="dxa"/>
            <w:vAlign w:val="bottom"/>
          </w:tcPr>
          <w:p>
            <w:pPr>
              <w:jc w:val="center"/>
              <w:ind w:right="350"/>
              <w:spacing w:after="0"/>
              <w:rPr>
                <w:sz w:val="20"/>
                <w:szCs w:val="20"/>
                <w:color w:val="auto"/>
              </w:rPr>
            </w:pPr>
            <w:r>
              <w:rPr>
                <w:rFonts w:ascii="Arial" w:cs="Arial" w:eastAsia="Arial" w:hAnsi="Arial"/>
                <w:sz w:val="18"/>
                <w:szCs w:val="18"/>
                <w:color w:val="auto"/>
                <w:w w:val="92"/>
              </w:rPr>
              <w:t>101.INS</w:t>
            </w:r>
          </w:p>
        </w:tc>
        <w:tc>
          <w:tcPr>
            <w:tcW w:w="9220" w:type="dxa"/>
            <w:vAlign w:val="bottom"/>
            <w:gridSpan w:val="34"/>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94"/>
              </w:rPr>
              <w:t>101.SCHXBRL</w:t>
            </w:r>
          </w:p>
        </w:tc>
        <w:tc>
          <w:tcPr>
            <w:tcW w:w="9220" w:type="dxa"/>
            <w:vAlign w:val="bottom"/>
            <w:gridSpan w:val="34"/>
          </w:tcPr>
          <w:p>
            <w:pPr>
              <w:spacing w:after="0"/>
              <w:rPr>
                <w:sz w:val="20"/>
                <w:szCs w:val="20"/>
                <w:color w:val="auto"/>
              </w:rPr>
            </w:pPr>
            <w:r>
              <w:rPr>
                <w:rFonts w:ascii="Arial" w:cs="Arial" w:eastAsia="Arial" w:hAnsi="Arial"/>
                <w:sz w:val="18"/>
                <w:szCs w:val="18"/>
                <w:color w:val="auto"/>
              </w:rPr>
              <w:t>Taxonomy Extension Schema Document.</w:t>
            </w:r>
          </w:p>
        </w:tc>
      </w:tr>
      <w:tr>
        <w:trPr>
          <w:trHeight w:val="27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96"/>
              </w:rPr>
              <w:t>101.CAL XBRL</w:t>
            </w:r>
          </w:p>
        </w:tc>
        <w:tc>
          <w:tcPr>
            <w:tcW w:w="9220" w:type="dxa"/>
            <w:vAlign w:val="bottom"/>
            <w:gridSpan w:val="34"/>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27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95"/>
              </w:rPr>
              <w:t>101.DEF XBRL</w:t>
            </w:r>
          </w:p>
        </w:tc>
        <w:tc>
          <w:tcPr>
            <w:tcW w:w="9220" w:type="dxa"/>
            <w:vAlign w:val="bottom"/>
            <w:gridSpan w:val="34"/>
          </w:tcPr>
          <w:p>
            <w:pPr>
              <w:spacing w:after="0"/>
              <w:rPr>
                <w:sz w:val="20"/>
                <w:szCs w:val="20"/>
                <w:color w:val="auto"/>
              </w:rPr>
            </w:pPr>
            <w:r>
              <w:rPr>
                <w:rFonts w:ascii="Arial" w:cs="Arial" w:eastAsia="Arial" w:hAnsi="Arial"/>
                <w:sz w:val="18"/>
                <w:szCs w:val="18"/>
                <w:color w:val="auto"/>
              </w:rPr>
              <w:t>Taxonomy Extension Definition Linkbase Document.</w:t>
            </w:r>
          </w:p>
        </w:tc>
      </w:tr>
      <w:tr>
        <w:trPr>
          <w:trHeight w:val="270"/>
        </w:trPr>
        <w:tc>
          <w:tcPr>
            <w:tcW w:w="1640" w:type="dxa"/>
            <w:vAlign w:val="bottom"/>
          </w:tcPr>
          <w:p>
            <w:pPr>
              <w:jc w:val="center"/>
              <w:ind w:right="350"/>
              <w:spacing w:after="0"/>
              <w:rPr>
                <w:sz w:val="20"/>
                <w:szCs w:val="20"/>
                <w:color w:val="auto"/>
              </w:rPr>
            </w:pPr>
            <w:r>
              <w:rPr>
                <w:rFonts w:ascii="Arial" w:cs="Arial" w:eastAsia="Arial" w:hAnsi="Arial"/>
                <w:sz w:val="18"/>
                <w:szCs w:val="18"/>
                <w:color w:val="auto"/>
                <w:w w:val="99"/>
              </w:rPr>
              <w:t>101.LAB XBRL</w:t>
            </w:r>
          </w:p>
        </w:tc>
        <w:tc>
          <w:tcPr>
            <w:tcW w:w="9220" w:type="dxa"/>
            <w:vAlign w:val="bottom"/>
            <w:gridSpan w:val="34"/>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27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95"/>
              </w:rPr>
              <w:t>101.PRE XBRL</w:t>
            </w:r>
          </w:p>
        </w:tc>
        <w:tc>
          <w:tcPr>
            <w:tcW w:w="9220" w:type="dxa"/>
            <w:vAlign w:val="bottom"/>
            <w:gridSpan w:val="34"/>
          </w:tcPr>
          <w:p>
            <w:pPr>
              <w:spacing w:after="0"/>
              <w:rPr>
                <w:sz w:val="20"/>
                <w:szCs w:val="20"/>
                <w:color w:val="auto"/>
              </w:rPr>
            </w:pPr>
            <w:r>
              <w:rPr>
                <w:rFonts w:ascii="Arial" w:cs="Arial" w:eastAsia="Arial" w:hAnsi="Arial"/>
                <w:sz w:val="18"/>
                <w:szCs w:val="18"/>
                <w:color w:val="auto"/>
              </w:rPr>
              <w:t>Taxonomy Extension Presentation Linkbase Document.</w:t>
            </w:r>
          </w:p>
        </w:tc>
      </w:tr>
      <w:tr>
        <w:trPr>
          <w:trHeight w:val="270"/>
        </w:trPr>
        <w:tc>
          <w:tcPr>
            <w:tcW w:w="1640" w:type="dxa"/>
            <w:vAlign w:val="bottom"/>
          </w:tcPr>
          <w:p>
            <w:pPr>
              <w:jc w:val="center"/>
              <w:ind w:right="330"/>
              <w:spacing w:after="0"/>
              <w:rPr>
                <w:sz w:val="20"/>
                <w:szCs w:val="20"/>
                <w:color w:val="auto"/>
              </w:rPr>
            </w:pPr>
            <w:r>
              <w:rPr>
                <w:rFonts w:ascii="Arial" w:cs="Arial" w:eastAsia="Arial" w:hAnsi="Arial"/>
                <w:sz w:val="18"/>
                <w:szCs w:val="18"/>
                <w:color w:val="auto"/>
                <w:w w:val="86"/>
              </w:rPr>
              <w:t>104</w:t>
            </w:r>
          </w:p>
        </w:tc>
        <w:tc>
          <w:tcPr>
            <w:tcW w:w="9220" w:type="dxa"/>
            <w:vAlign w:val="bottom"/>
            <w:gridSpan w:val="34"/>
          </w:tcPr>
          <w:p>
            <w:pPr>
              <w:spacing w:after="0"/>
              <w:rPr>
                <w:sz w:val="20"/>
                <w:szCs w:val="20"/>
                <w:color w:val="auto"/>
              </w:rPr>
            </w:pPr>
            <w:r>
              <w:rPr>
                <w:rFonts w:ascii="Arial" w:cs="Arial" w:eastAsia="Arial" w:hAnsi="Arial"/>
                <w:sz w:val="18"/>
                <w:szCs w:val="18"/>
                <w:color w:val="auto"/>
              </w:rPr>
              <w:t>Cover Page Interactive Data File (formatted as Inline XBRL and included in Exhibit 101).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ind w:firstLine="8"/>
        <w:spacing w:after="0" w:line="260" w:lineRule="auto"/>
        <w:tabs>
          <w:tab w:leader="none" w:pos="1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The Registrant has omitted portions of this Exhibit as permitted under Item 601(b)(1) of Regulation S-K.</w:t>
      </w:r>
    </w:p>
    <w:p>
      <w:pPr>
        <w:spacing w:after="0" w:line="252" w:lineRule="exact"/>
        <w:rPr>
          <w:sz w:val="20"/>
          <w:szCs w:val="20"/>
          <w:color w:val="auto"/>
        </w:rPr>
      </w:pPr>
    </w:p>
    <w:p>
      <w:pPr>
        <w:jc w:val="both"/>
        <w:ind w:firstLine="8"/>
        <w:spacing w:after="0" w:line="263" w:lineRule="auto"/>
        <w:tabs>
          <w:tab w:leader="none" w:pos="1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BuzzFeed, Inc.</w:t>
      </w:r>
    </w:p>
    <w:p>
      <w:pPr>
        <w:spacing w:after="0" w:line="333" w:lineRule="exact"/>
        <w:rPr>
          <w:sz w:val="20"/>
          <w:szCs w:val="20"/>
          <w:color w:val="auto"/>
        </w:rPr>
      </w:pPr>
    </w:p>
    <w:p>
      <w:pPr>
        <w:ind w:left="5680"/>
        <w:spacing w:after="0"/>
        <w:tabs>
          <w:tab w:leader="none" w:pos="6140" w:val="left"/>
        </w:tabs>
        <w:rPr>
          <w:sz w:val="20"/>
          <w:szCs w:val="20"/>
          <w:color w:val="auto"/>
        </w:rPr>
      </w:pPr>
      <w:r>
        <w:rPr>
          <w:rFonts w:ascii="Arial" w:cs="Arial" w:eastAsia="Arial" w:hAnsi="Arial"/>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3240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39"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51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THE SECOND AMENDED AND RESTATED</w:t>
      </w:r>
    </w:p>
    <w:p>
      <w:pPr>
        <w:jc w:val="center"/>
        <w:spacing w:after="0"/>
        <w:rPr>
          <w:sz w:val="20"/>
          <w:szCs w:val="20"/>
          <w:color w:val="auto"/>
        </w:rPr>
      </w:pPr>
      <w:r>
        <w:rPr>
          <w:rFonts w:ascii="Arial" w:cs="Arial" w:eastAsia="Arial" w:hAnsi="Arial"/>
          <w:sz w:val="18"/>
          <w:szCs w:val="18"/>
          <w:b w:val="1"/>
          <w:bCs w:val="1"/>
          <w:color w:val="auto"/>
        </w:rPr>
        <w:t>CERTIFICATE OF INCORPORATION OF BUZZFEED,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BuzzFeed, Inc., a Delaware corporation (the “Corporation”), does hereby certify: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FIRST: That the Second Amended and Restated Certificate of Incorporation of the Corporation is hereby amended as follows:</w:t>
      </w:r>
    </w:p>
    <w:p>
      <w:pPr>
        <w:spacing w:after="0" w:line="21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Article VIII is hereby amended to read in its entirety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VIII: DIRECTOR </w:t>
      </w:r>
      <w:r>
        <w:rPr>
          <w:rFonts w:ascii="Arial" w:cs="Arial" w:eastAsia="Arial" w:hAnsi="Arial"/>
          <w:sz w:val="18"/>
          <w:szCs w:val="18"/>
          <w:b w:val="1"/>
          <w:bCs w:val="1"/>
          <w:i w:val="1"/>
          <w:iCs w:val="1"/>
          <w:u w:val="single" w:color="auto"/>
          <w:color w:val="auto"/>
        </w:rPr>
        <w:t>AND OFFICER</w:t>
      </w:r>
      <w:r>
        <w:rPr>
          <w:rFonts w:ascii="Arial" w:cs="Arial" w:eastAsia="Arial" w:hAnsi="Arial"/>
          <w:sz w:val="18"/>
          <w:szCs w:val="18"/>
          <w:b w:val="1"/>
          <w:bCs w:val="1"/>
          <w:color w:val="auto"/>
        </w:rPr>
        <w:t xml:space="preserve"> LIABILITY</w:t>
      </w:r>
    </w:p>
    <w:p>
      <w:pPr>
        <w:spacing w:after="0" w:line="212"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color w:val="auto"/>
        </w:rPr>
        <w:t>Limitation of Liability</w:t>
      </w:r>
      <w:r>
        <w:rPr>
          <w:rFonts w:ascii="Arial" w:cs="Arial" w:eastAsia="Arial" w:hAnsi="Arial"/>
          <w:sz w:val="16"/>
          <w:szCs w:val="16"/>
          <w:color w:val="auto"/>
        </w:rPr>
        <w:t xml:space="preserve">. To the fullest extent permitted by law, no director </w:t>
      </w:r>
      <w:r>
        <w:rPr>
          <w:rFonts w:ascii="Arial" w:cs="Arial" w:eastAsia="Arial" w:hAnsi="Arial"/>
          <w:sz w:val="16"/>
          <w:szCs w:val="16"/>
          <w:b w:val="1"/>
          <w:bCs w:val="1"/>
          <w:i w:val="1"/>
          <w:iCs w:val="1"/>
          <w:u w:val="single" w:color="auto"/>
          <w:color w:val="auto"/>
        </w:rPr>
        <w:t>or officer</w:t>
      </w:r>
      <w:r>
        <w:rPr>
          <w:rFonts w:ascii="Arial" w:cs="Arial" w:eastAsia="Arial" w:hAnsi="Arial"/>
          <w:sz w:val="16"/>
          <w:szCs w:val="16"/>
          <w:color w:val="auto"/>
        </w:rPr>
        <w:t xml:space="preserve"> of the Corporation shall be personally liable for monetary damages for breach of fiduciary duty as a director </w:t>
      </w:r>
      <w:r>
        <w:rPr>
          <w:rFonts w:ascii="Arial" w:cs="Arial" w:eastAsia="Arial" w:hAnsi="Arial"/>
          <w:sz w:val="16"/>
          <w:szCs w:val="16"/>
          <w:b w:val="1"/>
          <w:bCs w:val="1"/>
          <w:i w:val="1"/>
          <w:iCs w:val="1"/>
          <w:u w:val="single" w:color="auto"/>
          <w:color w:val="auto"/>
        </w:rPr>
        <w:t>or officer, as applicable</w:t>
      </w:r>
      <w:r>
        <w:rPr>
          <w:rFonts w:ascii="Arial" w:cs="Arial" w:eastAsia="Arial" w:hAnsi="Arial"/>
          <w:sz w:val="16"/>
          <w:szCs w:val="16"/>
          <w:u w:val="single" w:color="auto"/>
          <w:color w:val="auto"/>
        </w:rPr>
        <w:t>.</w:t>
      </w:r>
      <w:r>
        <w:rPr>
          <w:rFonts w:ascii="Arial" w:cs="Arial" w:eastAsia="Arial" w:hAnsi="Arial"/>
          <w:sz w:val="16"/>
          <w:szCs w:val="16"/>
          <w:color w:val="auto"/>
        </w:rPr>
        <w:t xml:space="preserve"> Without limiting the effect of the preceding sentence, if the General</w:t>
      </w:r>
    </w:p>
    <w:p>
      <w:pPr>
        <w:spacing w:after="0" w:line="1" w:lineRule="exact"/>
        <w:rPr>
          <w:sz w:val="20"/>
          <w:szCs w:val="20"/>
          <w:color w:val="auto"/>
        </w:rPr>
      </w:pPr>
    </w:p>
    <w:p>
      <w:pPr>
        <w:jc w:val="both"/>
        <w:ind w:left="660"/>
        <w:spacing w:after="0" w:line="218" w:lineRule="auto"/>
        <w:rPr>
          <w:sz w:val="20"/>
          <w:szCs w:val="20"/>
          <w:color w:val="auto"/>
        </w:rPr>
      </w:pPr>
      <w:r>
        <w:rPr>
          <w:rFonts w:ascii="Arial" w:cs="Arial" w:eastAsia="Arial" w:hAnsi="Arial"/>
          <w:sz w:val="18"/>
          <w:szCs w:val="18"/>
          <w:color w:val="auto"/>
        </w:rPr>
        <w:t xml:space="preserve">Corporation Law is hereafter amended to authorize the further elimination or limitation of the liability of a director </w:t>
      </w:r>
      <w:r>
        <w:rPr>
          <w:rFonts w:ascii="Arial" w:cs="Arial" w:eastAsia="Arial" w:hAnsi="Arial"/>
          <w:sz w:val="18"/>
          <w:szCs w:val="18"/>
          <w:b w:val="1"/>
          <w:bCs w:val="1"/>
          <w:i w:val="1"/>
          <w:iCs w:val="1"/>
          <w:u w:val="single" w:color="auto"/>
          <w:color w:val="auto"/>
        </w:rPr>
        <w:t>or officer, as applicable</w:t>
      </w:r>
      <w:r>
        <w:rPr>
          <w:rFonts w:ascii="Arial" w:cs="Arial" w:eastAsia="Arial" w:hAnsi="Arial"/>
          <w:sz w:val="18"/>
          <w:szCs w:val="18"/>
          <w:color w:val="auto"/>
        </w:rPr>
        <w:t xml:space="preserve">, then the liability of a director </w:t>
      </w:r>
      <w:r>
        <w:rPr>
          <w:rFonts w:ascii="Arial" w:cs="Arial" w:eastAsia="Arial" w:hAnsi="Arial"/>
          <w:sz w:val="18"/>
          <w:szCs w:val="18"/>
          <w:b w:val="1"/>
          <w:bCs w:val="1"/>
          <w:i w:val="1"/>
          <w:iCs w:val="1"/>
          <w:u w:val="single" w:color="auto"/>
          <w:color w:val="auto"/>
        </w:rPr>
        <w:t>or officer</w:t>
      </w:r>
      <w:r>
        <w:rPr>
          <w:rFonts w:ascii="Arial" w:cs="Arial" w:eastAsia="Arial" w:hAnsi="Arial"/>
          <w:sz w:val="18"/>
          <w:szCs w:val="18"/>
          <w:color w:val="auto"/>
        </w:rPr>
        <w:t xml:space="preserve"> of the Corporation shall be eliminated or limited to the fullest extent permitted by the General Corporation Law, as so amended.</w:t>
      </w:r>
    </w:p>
    <w:p>
      <w:pPr>
        <w:spacing w:after="0" w:line="199" w:lineRule="exact"/>
        <w:rPr>
          <w:sz w:val="20"/>
          <w:szCs w:val="20"/>
          <w:color w:val="auto"/>
        </w:rPr>
      </w:pPr>
    </w:p>
    <w:p>
      <w:pPr>
        <w:jc w:val="both"/>
        <w:ind w:left="660"/>
        <w:spacing w:after="0" w:line="239" w:lineRule="auto"/>
        <w:rPr>
          <w:sz w:val="20"/>
          <w:szCs w:val="20"/>
          <w:color w:val="auto"/>
        </w:rPr>
      </w:pPr>
      <w:r>
        <w:rPr>
          <w:rFonts w:ascii="Arial" w:cs="Arial" w:eastAsia="Arial" w:hAnsi="Arial"/>
          <w:sz w:val="17"/>
          <w:szCs w:val="17"/>
          <w:color w:val="auto"/>
        </w:rPr>
        <w:t>2.</w:t>
      </w:r>
      <w:r>
        <w:rPr>
          <w:rFonts w:ascii="Arial" w:cs="Arial" w:eastAsia="Arial" w:hAnsi="Arial"/>
          <w:sz w:val="17"/>
          <w:szCs w:val="17"/>
          <w:b w:val="1"/>
          <w:bCs w:val="1"/>
          <w:color w:val="auto"/>
        </w:rPr>
        <w:t>Change in Rights.</w:t>
      </w:r>
      <w:r>
        <w:rPr>
          <w:rFonts w:ascii="Arial" w:cs="Arial" w:eastAsia="Arial" w:hAnsi="Arial"/>
          <w:sz w:val="17"/>
          <w:szCs w:val="17"/>
          <w:color w:val="auto"/>
        </w:rPr>
        <w:t xml:space="preserve"> Neither any amendment nor repeal of this Article VIII, nor the adoption of any provision of this Restated Certificate inconsistent with this Article VIII, shall eliminate, reduce or otherwise adversely affect any limitation on the personal liability of a director or officer of the Corporation existing at the time of such amendment, repeal or adoption of such an inconsistent provision.</w:t>
      </w:r>
    </w:p>
    <w:p>
      <w:pPr>
        <w:spacing w:after="0" w:line="20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SECOND: That the foregoing amendment to the Second Amended and Restated Certificate of Incorporation was duly adopted in accordance with the provisions of Section 242 of the Delaware General Corporation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THIRD: This Certificate of Amendment shall become effective at 5:00 pm, Eastern Time, on June 2, 2023.</w:t>
      </w:r>
    </w:p>
    <w:p>
      <w:pPr>
        <w:spacing w:after="0" w:line="17"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For Accountng Purposes Only</w:t>
      </w:r>
    </w:p>
    <w:p>
      <w:pPr>
        <w:spacing w:after="0" w:line="226" w:lineRule="auto"/>
        <w:rPr>
          <w:sz w:val="20"/>
          <w:szCs w:val="20"/>
          <w:color w:val="auto"/>
        </w:rPr>
      </w:pPr>
      <w:r>
        <w:rPr>
          <w:rFonts w:ascii="Arial" w:cs="Arial" w:eastAsia="Arial" w:hAnsi="Arial"/>
          <w:sz w:val="18"/>
          <w:szCs w:val="18"/>
          <w:color w:val="auto"/>
        </w:rPr>
        <w:t>IN WITNESS WHEREOF, the Corporation has caused this Certificate of Amendment to be executed by a duly authorized officer on the date set forth below.</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BuzzFeed,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Arroyo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40640</wp:posOffset>
            </wp:positionV>
            <wp:extent cx="2168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 David Arroyo</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 Chief Legal &amp; Compliance Officer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Corporate Secretary</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June 1, 2023</w:t>
      </w:r>
    </w:p>
    <w:p>
      <w:pPr>
        <w:sectPr>
          <w:pgSz w:w="11900" w:h="16838" w:orient="portrait"/>
          <w:cols w:equalWidth="0" w:num="1">
            <w:col w:w="11240"/>
          </w:cols>
          <w:pgMar w:left="320" w:top="108" w:right="339" w:bottom="1440" w:gutter="0" w:footer="0" w:header="0"/>
        </w:sectPr>
      </w:pPr>
    </w:p>
    <w:bookmarkStart w:id="53" w:name="page54"/>
    <w:bookmarkEnd w:id="53"/>
    <w:p>
      <w:pPr>
        <w:ind w:left="10400"/>
        <w:spacing w:after="0"/>
        <w:rPr>
          <w:sz w:val="20"/>
          <w:szCs w:val="20"/>
          <w:color w:val="auto"/>
        </w:rPr>
      </w:pPr>
      <w:r>
        <w:rPr>
          <w:rFonts w:ascii="Arial" w:cs="Arial" w:eastAsia="Arial" w:hAnsi="Arial"/>
          <w:sz w:val="16"/>
          <w:szCs w:val="16"/>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SUPPLEMENTAL INDENTURE</w:t>
      </w:r>
    </w:p>
    <w:p>
      <w:pPr>
        <w:spacing w:after="0" w:line="233" w:lineRule="exact"/>
        <w:rPr>
          <w:sz w:val="20"/>
          <w:szCs w:val="20"/>
          <w:color w:val="auto"/>
        </w:rPr>
      </w:pPr>
    </w:p>
    <w:p>
      <w:pPr>
        <w:ind w:right="460" w:firstLine="648"/>
        <w:spacing w:after="0" w:line="319" w:lineRule="auto"/>
        <w:rPr>
          <w:sz w:val="20"/>
          <w:szCs w:val="20"/>
          <w:color w:val="auto"/>
        </w:rPr>
      </w:pPr>
      <w:r>
        <w:rPr>
          <w:rFonts w:ascii="Arial" w:cs="Arial" w:eastAsia="Arial" w:hAnsi="Arial"/>
          <w:sz w:val="19"/>
          <w:szCs w:val="19"/>
          <w:color w:val="auto"/>
        </w:rPr>
        <w:t>FIRST SUPPLEMENTAL INDENTURE (this “</w:t>
      </w:r>
      <w:r>
        <w:rPr>
          <w:rFonts w:ascii="Arial" w:cs="Arial" w:eastAsia="Arial" w:hAnsi="Arial"/>
          <w:sz w:val="19"/>
          <w:szCs w:val="19"/>
          <w:b w:val="1"/>
          <w:bCs w:val="1"/>
          <w:color w:val="auto"/>
        </w:rPr>
        <w:t>First Supplemental Indenture</w:t>
      </w:r>
      <w:r>
        <w:rPr>
          <w:rFonts w:ascii="Arial" w:cs="Arial" w:eastAsia="Arial" w:hAnsi="Arial"/>
          <w:sz w:val="19"/>
          <w:szCs w:val="19"/>
          <w:color w:val="auto"/>
        </w:rPr>
        <w:t>”) dated as of July 10</w:t>
      </w:r>
      <w:r>
        <w:rPr>
          <w:rFonts w:ascii="Arial" w:cs="Arial" w:eastAsia="Arial" w:hAnsi="Arial"/>
          <w:sz w:val="19"/>
          <w:szCs w:val="19"/>
          <w:color w:val="202124"/>
        </w:rPr>
        <w:t>,</w:t>
      </w:r>
      <w:r>
        <w:rPr>
          <w:rFonts w:ascii="Arial" w:cs="Arial" w:eastAsia="Arial" w:hAnsi="Arial"/>
          <w:sz w:val="19"/>
          <w:szCs w:val="19"/>
          <w:color w:val="auto"/>
        </w:rPr>
        <w:t xml:space="preserve"> 2023, between BUZZFEED, INC. (as successor to 890 5th Avenue Partners,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BUZZFEED CANADA, INC., a corporation duly incorporated under the Business Corporations Act (New Brunswick) (the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Guarantor</w:t>
      </w:r>
      <w:r>
        <w:rPr>
          <w:rFonts w:ascii="Arial" w:cs="Arial" w:eastAsia="Arial" w:hAnsi="Arial"/>
          <w:sz w:val="19"/>
          <w:szCs w:val="19"/>
          <w:color w:val="auto"/>
        </w:rPr>
        <w:t>”) and WILMINGTON SAVINGS FUND SOCIETY, FSB as trustee (the “</w:t>
      </w:r>
      <w:r>
        <w:rPr>
          <w:rFonts w:ascii="Arial" w:cs="Arial" w:eastAsia="Arial" w:hAnsi="Arial"/>
          <w:sz w:val="19"/>
          <w:szCs w:val="19"/>
          <w:b w:val="1"/>
          <w:bCs w:val="1"/>
          <w:color w:val="auto"/>
        </w:rPr>
        <w:t>Trustee</w:t>
      </w:r>
      <w:r>
        <w:rPr>
          <w:rFonts w:ascii="Arial" w:cs="Arial" w:eastAsia="Arial" w:hAnsi="Arial"/>
          <w:sz w:val="19"/>
          <w:szCs w:val="19"/>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 OF THE COMPANY</w:t>
      </w:r>
    </w:p>
    <w:p>
      <w:pPr>
        <w:spacing w:after="0" w:line="20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WHEREAS, 890 5th Avenue Partners, Inc., a Delaware corporation (the “</w:t>
      </w:r>
      <w:r>
        <w:rPr>
          <w:rFonts w:ascii="Arial" w:cs="Arial" w:eastAsia="Arial" w:hAnsi="Arial"/>
          <w:sz w:val="22"/>
          <w:szCs w:val="22"/>
          <w:b w:val="1"/>
          <w:bCs w:val="1"/>
          <w:color w:val="auto"/>
        </w:rPr>
        <w:t>Original Issuer</w:t>
      </w:r>
      <w:r>
        <w:rPr>
          <w:rFonts w:ascii="Arial" w:cs="Arial" w:eastAsia="Arial" w:hAnsi="Arial"/>
          <w:sz w:val="22"/>
          <w:szCs w:val="22"/>
          <w:color w:val="auto"/>
        </w:rPr>
        <w:t>”) has heretofore executed and delivered to the Trustee an indenture (the “</w:t>
      </w:r>
      <w:r>
        <w:rPr>
          <w:rFonts w:ascii="Arial" w:cs="Arial" w:eastAsia="Arial" w:hAnsi="Arial"/>
          <w:sz w:val="22"/>
          <w:szCs w:val="22"/>
          <w:b w:val="1"/>
          <w:bCs w:val="1"/>
          <w:color w:val="auto"/>
        </w:rPr>
        <w:t>Indenture</w:t>
      </w:r>
      <w:r>
        <w:rPr>
          <w:rFonts w:ascii="Arial" w:cs="Arial" w:eastAsia="Arial" w:hAnsi="Arial"/>
          <w:sz w:val="22"/>
          <w:szCs w:val="22"/>
          <w:color w:val="auto"/>
        </w:rPr>
        <w:t>”), dated as of December 3, 2021 providing for the issuance of the Original Issuer’s 8.50% Convertible Senior Notes due 2026 (the “</w:t>
      </w:r>
      <w:r>
        <w:rPr>
          <w:rFonts w:ascii="Arial" w:cs="Arial" w:eastAsia="Arial" w:hAnsi="Arial"/>
          <w:sz w:val="22"/>
          <w:szCs w:val="22"/>
          <w:b w:val="1"/>
          <w:bCs w:val="1"/>
          <w:color w:val="auto"/>
        </w:rPr>
        <w:t>Notes</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Indenture provides that under certain circumstances a supplemental indenture may be executed without consent of any Holder to add guarantees or Guarantors with respect to the Notes;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New Guarantor has executed and delivered a Guarantee dated as of the date hereof; and</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pursuant to Section 10.01(c) of the Indenture, the Company, the New Guarantor and the Trustee are authorized to execute and deliver this First Supplemental Indenture.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THIS FIRST SUPPLEMENTAL INDENTURE WITNESSETH:</w:t>
      </w:r>
    </w:p>
    <w:p>
      <w:pPr>
        <w:spacing w:after="0" w:line="23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In consideration of the foregoing and for other good and valuable consideration, receipt of which is hereby acknowledged, the Company and the Trustee agree as follows for the equal and ratable benefit of the holders of the Notes:</w:t>
      </w:r>
    </w:p>
    <w:p>
      <w:pPr>
        <w:spacing w:after="0" w:line="98" w:lineRule="exact"/>
        <w:rPr>
          <w:sz w:val="20"/>
          <w:szCs w:val="20"/>
          <w:color w:val="auto"/>
        </w:rPr>
      </w:pPr>
    </w:p>
    <w:p>
      <w:pPr>
        <w:jc w:val="right"/>
        <w:ind w:right="5120"/>
        <w:spacing w:after="0"/>
        <w:rPr>
          <w:sz w:val="20"/>
          <w:szCs w:val="20"/>
          <w:color w:val="auto"/>
        </w:rPr>
      </w:pPr>
      <w:r>
        <w:rPr>
          <w:rFonts w:ascii="Arial" w:cs="Arial" w:eastAsia="Arial" w:hAnsi="Arial"/>
          <w:sz w:val="22"/>
          <w:szCs w:val="22"/>
          <w:b w:val="1"/>
          <w:bCs w:val="1"/>
          <w:color w:val="auto"/>
        </w:rPr>
        <w:t>ARTICLE 1</w:t>
      </w:r>
    </w:p>
    <w:p>
      <w:pPr>
        <w:spacing w:after="0" w:line="27" w:lineRule="exact"/>
        <w:rPr>
          <w:sz w:val="20"/>
          <w:szCs w:val="20"/>
          <w:color w:val="auto"/>
        </w:rPr>
      </w:pPr>
    </w:p>
    <w:p>
      <w:pPr>
        <w:jc w:val="right"/>
        <w:ind w:right="5120"/>
        <w:spacing w:after="0"/>
        <w:rPr>
          <w:sz w:val="20"/>
          <w:szCs w:val="20"/>
          <w:color w:val="auto"/>
        </w:rPr>
      </w:pPr>
      <w:r>
        <w:rPr>
          <w:rFonts w:ascii="Arial" w:cs="Arial" w:eastAsia="Arial" w:hAnsi="Arial"/>
          <w:sz w:val="22"/>
          <w:szCs w:val="22"/>
          <w:color w:val="auto"/>
        </w:rPr>
        <w:t>Definitions</w:t>
      </w:r>
    </w:p>
    <w:p>
      <w:pPr>
        <w:spacing w:after="0" w:line="161" w:lineRule="exact"/>
        <w:rPr>
          <w:sz w:val="20"/>
          <w:szCs w:val="20"/>
          <w:color w:val="auto"/>
        </w:rPr>
      </w:pPr>
    </w:p>
    <w:p>
      <w:pPr>
        <w:ind w:right="380" w:firstLine="648"/>
        <w:spacing w:after="0" w:line="27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General</w:t>
      </w:r>
      <w:r>
        <w:rPr>
          <w:rFonts w:ascii="Arial" w:cs="Arial" w:eastAsia="Arial" w:hAnsi="Arial"/>
          <w:sz w:val="22"/>
          <w:szCs w:val="22"/>
          <w:color w:val="auto"/>
        </w:rPr>
        <w:t>. Capitalized terms used but not defined herein shall have the meanings assigned to them in the Indenture.</w:t>
      </w:r>
    </w:p>
    <w:p>
      <w:pPr>
        <w:spacing w:after="0" w:line="8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2</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New Guarantee</w:t>
      </w:r>
    </w:p>
    <w:p>
      <w:pPr>
        <w:spacing w:after="0" w:line="161" w:lineRule="exact"/>
        <w:rPr>
          <w:sz w:val="20"/>
          <w:szCs w:val="20"/>
          <w:color w:val="auto"/>
        </w:rPr>
      </w:pPr>
    </w:p>
    <w:p>
      <w:pPr>
        <w:jc w:val="both"/>
        <w:ind w:right="80" w:firstLine="648"/>
        <w:spacing w:after="0" w:line="358"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i w:val="1"/>
          <w:iCs w:val="1"/>
          <w:color w:val="auto"/>
        </w:rPr>
        <w:t>Agreement to Guarantee</w:t>
      </w:r>
      <w:r>
        <w:rPr>
          <w:rFonts w:ascii="Arial" w:cs="Arial" w:eastAsia="Arial" w:hAnsi="Arial"/>
          <w:sz w:val="19"/>
          <w:szCs w:val="19"/>
          <w:color w:val="auto"/>
        </w:rPr>
        <w:t>. The New Guarantor hereby agrees to provide an unconditional Guarantee on the terms and subject to the conditions set forth in the Guarantee and in the Indenture, including but not limited to Article 13 thereof.</w:t>
      </w:r>
    </w:p>
    <w:p>
      <w:pPr>
        <w:spacing w:after="0" w:line="3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3</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Miscellaneous Provisions</w:t>
      </w:r>
    </w:p>
    <w:p>
      <w:pPr>
        <w:spacing w:after="0" w:line="148" w:lineRule="exact"/>
        <w:rPr>
          <w:sz w:val="20"/>
          <w:szCs w:val="20"/>
          <w:color w:val="auto"/>
        </w:rPr>
      </w:pPr>
    </w:p>
    <w:p>
      <w:pPr>
        <w:ind w:right="220" w:firstLine="648"/>
        <w:spacing w:after="0" w:line="276"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Effectiveness; Construction</w:t>
      </w:r>
      <w:r>
        <w:rPr>
          <w:rFonts w:ascii="Arial" w:cs="Arial" w:eastAsia="Arial" w:hAnsi="Arial"/>
          <w:sz w:val="22"/>
          <w:szCs w:val="22"/>
          <w:color w:val="auto"/>
        </w:rPr>
        <w:t>. This First Supplemental Indenture shall become effective upon its execution and delivery by the Company, the New Guarantor and the</w:t>
      </w:r>
    </w:p>
    <w:p>
      <w:pPr>
        <w:sectPr>
          <w:pgSz w:w="11900" w:h="16838" w:orient="portrait"/>
          <w:cols w:equalWidth="0" w:num="1">
            <w:col w:w="11240"/>
          </w:cols>
          <w:pgMar w:left="320" w:top="121" w:right="339" w:bottom="1440" w:gutter="0" w:footer="0" w:header="0"/>
        </w:sectPr>
      </w:pPr>
    </w:p>
    <w:bookmarkStart w:id="54" w:name="page55"/>
    <w:bookmarkEnd w:id="54"/>
    <w:p>
      <w:pPr>
        <w:ind w:right="20"/>
        <w:spacing w:after="0" w:line="262" w:lineRule="auto"/>
        <w:rPr>
          <w:sz w:val="20"/>
          <w:szCs w:val="20"/>
          <w:color w:val="auto"/>
        </w:rPr>
      </w:pPr>
      <w:r>
        <w:rPr>
          <w:rFonts w:ascii="Arial" w:cs="Arial" w:eastAsia="Arial" w:hAnsi="Arial"/>
          <w:sz w:val="22"/>
          <w:szCs w:val="22"/>
          <w:color w:val="auto"/>
        </w:rPr>
        <w:t>Trustee as of the date hereof. Upon such effectiveness, the Indenture shall be supplemented in accordance herewith. This First Supplemental Indenture shall form a part of the Indenture for all purposes, and every holder of Notes heretofore or hereafter authenticated and delivered under the Indenture shall be bound thereby. The Indenture and this First Supplemental Indenture shall henceforth be read and construed together.</w:t>
      </w:r>
    </w:p>
    <w:p>
      <w:pPr>
        <w:spacing w:after="0" w:line="124"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Indenture Remains in Full Force and Effect</w:t>
      </w:r>
      <w:r>
        <w:rPr>
          <w:rFonts w:ascii="Arial" w:cs="Arial" w:eastAsia="Arial" w:hAnsi="Arial"/>
          <w:sz w:val="22"/>
          <w:szCs w:val="22"/>
          <w:color w:val="auto"/>
        </w:rPr>
        <w:t>. Except as supplemented hereby, all provisions in the Indenture shall remain in full force and effect.</w:t>
      </w:r>
    </w:p>
    <w:p>
      <w:pPr>
        <w:spacing w:after="0" w:line="93"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i w:val="1"/>
          <w:iCs w:val="1"/>
          <w:color w:val="auto"/>
        </w:rPr>
        <w:t>Trustee Matters</w:t>
      </w:r>
      <w:r>
        <w:rPr>
          <w:rFonts w:ascii="Arial" w:cs="Arial" w:eastAsia="Arial" w:hAnsi="Arial"/>
          <w:sz w:val="21"/>
          <w:szCs w:val="21"/>
          <w:color w:val="auto"/>
        </w:rPr>
        <w:t>. The Trustee accepts the Indenture, as supplemented hereby, and agrees to perform the same upon the terms and conditions set forth therein, as supplemented hereby. The Trustee shall be entitled to the benefit of every provision of the Indenture relating to the conduct or affecting the liability or affording protection to the Trustee, whether or not elsewhere herein so provided. The recitals contained in this First Supplemental Indenture shall be taken as the statements of the Company, the New Guarantor and the Trustee assumes no responsibility for their correctness. The Trustee makes no representation as to the validity or sufficiency of this First Supplemental Indenture.</w:t>
      </w:r>
    </w:p>
    <w:p>
      <w:pPr>
        <w:spacing w:after="0" w:line="114" w:lineRule="exact"/>
        <w:rPr>
          <w:sz w:val="20"/>
          <w:szCs w:val="20"/>
          <w:color w:val="auto"/>
        </w:rPr>
      </w:pPr>
    </w:p>
    <w:p>
      <w:pPr>
        <w:ind w:right="320" w:firstLine="648"/>
        <w:spacing w:after="0" w:line="279" w:lineRule="auto"/>
        <w:rPr>
          <w:sz w:val="20"/>
          <w:szCs w:val="20"/>
          <w:color w:val="auto"/>
        </w:rPr>
      </w:pPr>
      <w:r>
        <w:rPr>
          <w:rFonts w:ascii="Arial" w:cs="Arial" w:eastAsia="Arial" w:hAnsi="Arial"/>
          <w:sz w:val="21"/>
          <w:szCs w:val="21"/>
          <w:color w:val="auto"/>
        </w:rPr>
        <w:t xml:space="preserve">Section 3.04. </w:t>
      </w:r>
      <w:r>
        <w:rPr>
          <w:rFonts w:ascii="Arial" w:cs="Arial" w:eastAsia="Arial" w:hAnsi="Arial"/>
          <w:sz w:val="21"/>
          <w:szCs w:val="21"/>
          <w:i w:val="1"/>
          <w:iCs w:val="1"/>
          <w:color w:val="auto"/>
        </w:rPr>
        <w:t>No Third-Party Beneficiaries</w:t>
      </w:r>
      <w:r>
        <w:rPr>
          <w:rFonts w:ascii="Arial" w:cs="Arial" w:eastAsia="Arial" w:hAnsi="Arial"/>
          <w:sz w:val="21"/>
          <w:szCs w:val="21"/>
          <w:color w:val="auto"/>
        </w:rPr>
        <w:t>. Nothing in this First Supplemental Indenture, expressed or implied, shall give to any Person, other than the parties to the Indenture, any Paying Agent, any Conversion Agent, any authenticating agent, any Note Registrar and their successors under the Indenture or the holders of the Notes, any benefit or any legal or equitable right, remedy or claim under the Indenture, as supplemented hereby.</w:t>
      </w:r>
    </w:p>
    <w:p>
      <w:pPr>
        <w:spacing w:after="0" w:line="106" w:lineRule="exact"/>
        <w:rPr>
          <w:sz w:val="20"/>
          <w:szCs w:val="20"/>
          <w:color w:val="auto"/>
        </w:rPr>
      </w:pPr>
    </w:p>
    <w:p>
      <w:pPr>
        <w:ind w:right="40" w:firstLine="648"/>
        <w:spacing w:after="0" w:line="266"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i w:val="1"/>
          <w:iCs w:val="1"/>
          <w:color w:val="auto"/>
        </w:rPr>
        <w:t>Severability</w:t>
      </w:r>
      <w:r>
        <w:rPr>
          <w:rFonts w:ascii="Arial" w:cs="Arial" w:eastAsia="Arial" w:hAnsi="Arial"/>
          <w:sz w:val="22"/>
          <w:szCs w:val="22"/>
          <w:color w:val="auto"/>
        </w:rPr>
        <w:t>. In the event any provision of this First Supplemental Indenture shall be invalid, illegal or unenforceable, then (to the extent permitted by law) the validity, legality or enforceability of the remaining provisions shall not in any way be affected or impaired.</w:t>
      </w:r>
    </w:p>
    <w:p>
      <w:pPr>
        <w:spacing w:after="0" w:line="104" w:lineRule="exact"/>
        <w:rPr>
          <w:sz w:val="20"/>
          <w:szCs w:val="20"/>
          <w:color w:val="auto"/>
        </w:rPr>
      </w:pPr>
    </w:p>
    <w:p>
      <w:pPr>
        <w:ind w:right="20" w:firstLine="648"/>
        <w:spacing w:after="0" w:line="266"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Headings</w:t>
      </w:r>
      <w:r>
        <w:rPr>
          <w:rFonts w:ascii="Arial" w:cs="Arial" w:eastAsia="Arial" w:hAnsi="Arial"/>
          <w:sz w:val="22"/>
          <w:szCs w:val="22"/>
          <w:color w:val="auto"/>
        </w:rPr>
        <w:t>. The Article and Section headings of this First Supplemental Indenture have been inserted for convenience of reference only and are not to be considered a part of this First Supplemental Indenture and shall in no way modify or restrict any of the terms or provisions hereof.</w:t>
      </w:r>
    </w:p>
    <w:p>
      <w:pPr>
        <w:spacing w:after="0" w:line="117"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i w:val="1"/>
          <w:iCs w:val="1"/>
          <w:color w:val="auto"/>
        </w:rPr>
        <w:t>Successors</w:t>
      </w:r>
      <w:r>
        <w:rPr>
          <w:rFonts w:ascii="Arial" w:cs="Arial" w:eastAsia="Arial" w:hAnsi="Arial"/>
          <w:sz w:val="22"/>
          <w:szCs w:val="22"/>
          <w:color w:val="auto"/>
        </w:rPr>
        <w:t>. All agreements of the Company, the New Guarantor and the Trustee in this First Supplemental Indenture shall bind their respective successors and assigns whether so expressed or not.</w:t>
      </w:r>
    </w:p>
    <w:p>
      <w:pPr>
        <w:spacing w:after="0" w:line="107" w:lineRule="exact"/>
        <w:rPr>
          <w:sz w:val="20"/>
          <w:szCs w:val="20"/>
          <w:color w:val="auto"/>
        </w:rPr>
      </w:pPr>
    </w:p>
    <w:p>
      <w:pPr>
        <w:ind w:right="520" w:firstLine="648"/>
        <w:spacing w:after="0" w:line="276"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Governing Law</w:t>
      </w:r>
      <w:r>
        <w:rPr>
          <w:rFonts w:ascii="Arial" w:cs="Arial" w:eastAsia="Arial" w:hAnsi="Arial"/>
          <w:sz w:val="22"/>
          <w:szCs w:val="22"/>
          <w:color w:val="auto"/>
        </w:rPr>
        <w:t>. THIS FIRST SUPPLEMENTAL INDENTURE SHALL BE GOVERNED BY, AND CONSTRUED IN ACCORDANCE WITH, THE LAWS OF NEW YORK.</w:t>
      </w:r>
    </w:p>
    <w:p>
      <w:pPr>
        <w:spacing w:after="0" w:line="93" w:lineRule="exact"/>
        <w:rPr>
          <w:sz w:val="20"/>
          <w:szCs w:val="20"/>
          <w:color w:val="auto"/>
        </w:rPr>
      </w:pPr>
    </w:p>
    <w:p>
      <w:pPr>
        <w:ind w:right="220" w:firstLine="648"/>
        <w:spacing w:after="0" w:line="279"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i w:val="1"/>
          <w:iCs w:val="1"/>
          <w:color w:val="auto"/>
        </w:rPr>
        <w:t>Counterpart Signatures; Digital Signatures</w:t>
      </w:r>
      <w:r>
        <w:rPr>
          <w:rFonts w:ascii="Arial" w:cs="Arial" w:eastAsia="Arial" w:hAnsi="Arial"/>
          <w:sz w:val="21"/>
          <w:szCs w:val="21"/>
          <w:color w:val="auto"/>
        </w:rPr>
        <w:t>. This First Supplemental Indenture may be executed in any number of counterparts, each of which shall be an original, but such counterparts shall together constitute but one and the same instrument. Any communication sent to Trustee under the Indenture that requires a signature must be in the form of a document that is signed manually or by way of a digital signature provided by DocuSign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5" w:name="page56"/>
    <w:bookmarkEnd w:id="55"/>
    <w:p>
      <w:pPr>
        <w:spacing w:after="0" w:line="327" w:lineRule="auto"/>
        <w:rPr>
          <w:sz w:val="20"/>
          <w:szCs w:val="20"/>
          <w:color w:val="auto"/>
        </w:rPr>
      </w:pPr>
      <w:r>
        <w:rPr>
          <w:rFonts w:ascii="Arial" w:cs="Arial" w:eastAsia="Arial" w:hAnsi="Arial"/>
          <w:sz w:val="19"/>
          <w:szCs w:val="19"/>
          <w:color w:val="auto"/>
        </w:rPr>
        <w:t>digital signature provider as specified in writing to Trustee by an authorized representative of the Company). The Company agrees to assume all risks arising out of its use of digital signatures and electronic methods to submit communications to Trustee, including the risk of the Trustee acting on unauthorized instructions and the risk of interception and misuse by third parties.</w:t>
      </w:r>
    </w:p>
    <w:p>
      <w:pPr>
        <w:spacing w:after="0" w:line="6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40"/>
          </w:cols>
          <w:pgMar w:left="320" w:top="1428" w:right="439" w:bottom="1440" w:gutter="0" w:footer="0" w:header="0"/>
        </w:sectPr>
      </w:pPr>
    </w:p>
    <w:bookmarkStart w:id="56" w:name="page57"/>
    <w:bookmarkEnd w:id="56"/>
    <w:p>
      <w:pPr>
        <w:spacing w:after="0" w:line="276" w:lineRule="auto"/>
        <w:rPr>
          <w:sz w:val="20"/>
          <w:szCs w:val="20"/>
          <w:color w:val="auto"/>
        </w:rPr>
      </w:pPr>
      <w:r>
        <w:rPr>
          <w:rFonts w:ascii="Arial" w:cs="Arial" w:eastAsia="Arial" w:hAnsi="Arial"/>
          <w:sz w:val="22"/>
          <w:szCs w:val="22"/>
          <w:color w:val="auto"/>
        </w:rPr>
        <w:t>IN WITNESS WHEREOF, the parties hereto have caused this First Supplemental Indenture to be duly executed as of the date first written above.</w:t>
      </w:r>
    </w:p>
    <w:p>
      <w:pPr>
        <w:spacing w:after="0" w:line="195"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BUZZFEED, INC.</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By: /s/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-5715</wp:posOffset>
            </wp:positionV>
            <wp:extent cx="14325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ind w:left="6080"/>
        <w:spacing w:after="0" w:line="204" w:lineRule="auto"/>
        <w:rPr>
          <w:sz w:val="20"/>
          <w:szCs w:val="20"/>
          <w:color w:val="auto"/>
        </w:rPr>
      </w:pPr>
      <w:r>
        <w:rPr>
          <w:rFonts w:ascii="Arial" w:cs="Arial" w:eastAsia="Arial" w:hAnsi="Arial"/>
          <w:sz w:val="22"/>
          <w:szCs w:val="22"/>
          <w:color w:val="auto"/>
        </w:rPr>
        <w:t>Name: Felicia DellaFortuna</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[Signature Page to First Supplemental Indenture]</w:t>
      </w:r>
    </w:p>
    <w:p>
      <w:pPr>
        <w:sectPr>
          <w:pgSz w:w="11900" w:h="16838" w:orient="portrait"/>
          <w:cols w:equalWidth="0" w:num="1">
            <w:col w:w="10880"/>
          </w:cols>
          <w:pgMar w:left="320" w:top="1428" w:right="699" w:bottom="1440" w:gutter="0" w:footer="0" w:header="0"/>
        </w:sectPr>
      </w:pPr>
    </w:p>
    <w:bookmarkStart w:id="57" w:name="page58"/>
    <w:bookmarkEnd w:id="57"/>
    <w:p>
      <w:pPr>
        <w:spacing w:after="0" w:line="252"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BUZZFEED CANADA, INC</w:t>
      </w:r>
      <w:r>
        <w:rPr>
          <w:rFonts w:ascii="Arial" w:cs="Arial" w:eastAsia="Arial" w:hAnsi="Arial"/>
          <w:sz w:val="22"/>
          <w:szCs w:val="22"/>
          <w:color w:val="auto"/>
        </w:rPr>
        <w:t>, as Guarantor</w:t>
      </w:r>
    </w:p>
    <w:p>
      <w:pPr>
        <w:spacing w:after="0" w:line="200" w:lineRule="exact"/>
        <w:rPr>
          <w:sz w:val="20"/>
          <w:szCs w:val="20"/>
          <w:color w:val="auto"/>
        </w:rPr>
      </w:pPr>
    </w:p>
    <w:p>
      <w:pPr>
        <w:spacing w:after="0" w:line="201"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 _</w:t>
      </w:r>
      <w:r>
        <w:rPr>
          <w:rFonts w:ascii="Arial" w:cs="Arial" w:eastAsia="Arial" w:hAnsi="Arial"/>
          <w:sz w:val="19"/>
          <w:szCs w:val="19"/>
          <w:u w:val="single" w:color="auto"/>
          <w:color w:val="auto"/>
        </w:rPr>
        <w:t>/s/ Felicia DellaFortuna</w:t>
      </w:r>
      <w:r>
        <w:rPr>
          <w:rFonts w:ascii="Arial" w:cs="Arial" w:eastAsia="Arial" w:hAnsi="Arial"/>
          <w:sz w:val="19"/>
          <w:szCs w:val="19"/>
          <w:color w:val="auto"/>
        </w:rPr>
        <w:t>_______________________________________</w:t>
      </w:r>
    </w:p>
    <w:p>
      <w:pPr>
        <w:ind w:left="3880"/>
        <w:spacing w:after="0" w:line="219" w:lineRule="auto"/>
        <w:rPr>
          <w:sz w:val="20"/>
          <w:szCs w:val="20"/>
          <w:color w:val="auto"/>
        </w:rPr>
      </w:pPr>
      <w:r>
        <w:rPr>
          <w:rFonts w:ascii="Arial" w:cs="Arial" w:eastAsia="Arial" w:hAnsi="Arial"/>
          <w:sz w:val="22"/>
          <w:szCs w:val="22"/>
          <w:color w:val="auto"/>
        </w:rPr>
        <w:t>Name: Felicia DellaFortuna</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First Supplemental Indenture]</w:t>
      </w:r>
    </w:p>
    <w:p>
      <w:pPr>
        <w:sectPr>
          <w:pgSz w:w="11900" w:h="16838" w:orient="portrait"/>
          <w:cols w:equalWidth="0" w:num="1">
            <w:col w:w="10220"/>
          </w:cols>
          <w:pgMar w:left="760" w:top="1440" w:right="919" w:bottom="1440" w:gutter="0" w:footer="0" w:header="0"/>
        </w:sectPr>
      </w:pPr>
    </w:p>
    <w:bookmarkStart w:id="58" w:name="page59"/>
    <w:bookmarkEnd w:id="58"/>
    <w:p>
      <w:pPr>
        <w:spacing w:after="0" w:line="251" w:lineRule="exact"/>
        <w:rPr>
          <w:sz w:val="20"/>
          <w:szCs w:val="20"/>
          <w:color w:val="auto"/>
        </w:rPr>
      </w:pPr>
    </w:p>
    <w:p>
      <w:pPr>
        <w:ind w:left="5240"/>
        <w:spacing w:after="0"/>
        <w:rPr>
          <w:sz w:val="20"/>
          <w:szCs w:val="20"/>
          <w:color w:val="auto"/>
        </w:rPr>
      </w:pPr>
      <w:r>
        <w:rPr>
          <w:rFonts w:ascii="Arial" w:cs="Arial" w:eastAsia="Arial" w:hAnsi="Arial"/>
          <w:sz w:val="21"/>
          <w:szCs w:val="21"/>
          <w:b w:val="1"/>
          <w:bCs w:val="1"/>
          <w:color w:val="auto"/>
        </w:rPr>
        <w:t>WILMINGTON SAVINGS FUND SOCIETY, FSB</w:t>
      </w:r>
      <w:r>
        <w:rPr>
          <w:rFonts w:ascii="Arial" w:cs="Arial" w:eastAsia="Arial" w:hAnsi="Arial"/>
          <w:sz w:val="21"/>
          <w:szCs w:val="21"/>
          <w:color w:val="auto"/>
        </w:rPr>
        <w:t>, as</w:t>
      </w:r>
    </w:p>
    <w:p>
      <w:pPr>
        <w:ind w:left="5240"/>
        <w:spacing w:after="0"/>
        <w:rPr>
          <w:sz w:val="20"/>
          <w:szCs w:val="20"/>
          <w:color w:val="auto"/>
        </w:rPr>
      </w:pPr>
      <w:r>
        <w:rPr>
          <w:rFonts w:ascii="Arial" w:cs="Arial" w:eastAsia="Arial" w:hAnsi="Arial"/>
          <w:sz w:val="22"/>
          <w:szCs w:val="22"/>
          <w:color w:val="auto"/>
        </w:rPr>
        <w:t>Trustee</w:t>
      </w:r>
    </w:p>
    <w:p>
      <w:pPr>
        <w:spacing w:after="0" w:line="35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 /s/ Patrick J.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-5715</wp:posOffset>
            </wp:positionV>
            <wp:extent cx="11734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5640"/>
        <w:spacing w:after="0" w:line="204" w:lineRule="auto"/>
        <w:rPr>
          <w:sz w:val="20"/>
          <w:szCs w:val="20"/>
          <w:color w:val="auto"/>
        </w:rPr>
      </w:pPr>
      <w:r>
        <w:rPr>
          <w:rFonts w:ascii="Arial" w:cs="Arial" w:eastAsia="Arial" w:hAnsi="Arial"/>
          <w:sz w:val="22"/>
          <w:szCs w:val="22"/>
          <w:color w:val="auto"/>
        </w:rPr>
        <w:t>Name: Patrick J. Healy</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First Supplemental Indenture]</w:t>
      </w:r>
    </w:p>
    <w:p>
      <w:pPr>
        <w:sectPr>
          <w:pgSz w:w="11900" w:h="16838" w:orient="portrait"/>
          <w:cols w:equalWidth="0" w:num="1">
            <w:col w:w="10200"/>
          </w:cols>
          <w:pgMar w:left="760" w:top="1440" w:right="939" w:bottom="1440" w:gutter="0" w:footer="0" w:header="0"/>
        </w:sectPr>
      </w:pPr>
    </w:p>
    <w:bookmarkStart w:id="59" w:name="page60"/>
    <w:bookmarkEnd w:id="5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ind w:left="340" w:right="204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Jonah Peretti, certify that:</w:t>
      </w:r>
    </w:p>
    <w:p>
      <w:pPr>
        <w:spacing w:after="0" w:line="18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BuzzFeed, Inc. (“the registrant”);</w:t>
      </w:r>
    </w:p>
    <w:p>
      <w:pPr>
        <w:spacing w:after="0" w:line="19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25"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23495</wp:posOffset>
            </wp:positionV>
            <wp:extent cx="27343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Jonah Peretti</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07" w:right="339" w:bottom="1440" w:gutter="0" w:footer="0" w:header="0"/>
        </w:sectPr>
      </w:pPr>
    </w:p>
    <w:bookmarkStart w:id="60" w:name="page61"/>
    <w:bookmarkEnd w:id="6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340" w:right="204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Felicia DellaFortuna, certify that:</w:t>
      </w:r>
    </w:p>
    <w:p>
      <w:pPr>
        <w:spacing w:after="0" w:line="18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BuzzFeed, Inc. (the “registrant”);</w:t>
      </w:r>
    </w:p>
    <w:p>
      <w:pPr>
        <w:spacing w:after="0" w:line="19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August 9, 2023</w:t>
      </w:r>
    </w:p>
    <w:p>
      <w:pPr>
        <w:spacing w:after="0" w:line="225"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23495</wp:posOffset>
            </wp:positionV>
            <wp:extent cx="27343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Felicia DellaFortuna</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07" w:right="339" w:bottom="1440" w:gutter="0" w:footer="0" w:header="0"/>
        </w:sectPr>
      </w:pPr>
    </w:p>
    <w:bookmarkStart w:id="61" w:name="page62"/>
    <w:bookmarkEnd w:id="6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 Jonah Peretti, Chief Executive Officer of BuzzFeed, Inc.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70"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2023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right="200" w:firstLine="332"/>
        <w:spacing w:after="0" w:line="477"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August 9, 2023</w:t>
      </w:r>
    </w:p>
    <w:p>
      <w:pPr>
        <w:spacing w:after="0" w:line="1"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23495</wp:posOffset>
            </wp:positionV>
            <wp:extent cx="2734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Jonah Peretti</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07" w:right="339" w:bottom="1440" w:gutter="0" w:footer="0" w:header="0"/>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Felicia DellaFortuna, Chief Financial Officer of BuzzFeed, Inc. (the “Company”), do hereby certify, pursuant to 18 U.S.C. Section 1350, as adopted pursuant to Section 906 of the Sarbanes-Oxley Act of 2002, that to the best of my knowledge:</w:t>
      </w:r>
    </w:p>
    <w:p>
      <w:pPr>
        <w:spacing w:after="0" w:line="130"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2023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right="200" w:firstLine="332"/>
        <w:spacing w:after="0" w:line="481"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August 9, 2023</w:t>
      </w:r>
    </w:p>
    <w:p>
      <w:pPr>
        <w:spacing w:after="0" w:line="7"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23495</wp:posOffset>
            </wp:positionV>
            <wp:extent cx="27343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Felicia DellaFortuna</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11"/>
    </w:lvl>
  </w:abstractNum>
  <w:abstractNum w:abstractNumId="9">
    <w:nsid w:val="25E45D32"/>
    <w:multiLevelType w:val="hybridMultilevel"/>
    <w:lvl w:ilvl="0">
      <w:lvlJc w:val="left"/>
      <w:lvlText w:val="%1."/>
      <w:numFmt w:val="decimal"/>
      <w:start w:val="16"/>
    </w:lvl>
  </w:abstractNum>
  <w:abstractNum w:abstractNumId="10">
    <w:nsid w:val="519B500D"/>
    <w:multiLevelType w:val="hybridMultilevel"/>
    <w:lvl w:ilvl="0">
      <w:lvlJc w:val="left"/>
      <w:lvlText w:val="%1."/>
      <w:numFmt w:val="decimal"/>
      <w:start w:val="19"/>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2"/>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5"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71" Type="http://schemas.openxmlformats.org/officeDocument/2006/relationships/hyperlink" Target="https://www.sec.gov/Archives/edgar/data/1828972/000182897223000124/exhibit11-atm8xk.htm" TargetMode="External"/><Relationship Id="rId72" Type="http://schemas.openxmlformats.org/officeDocument/2006/relationships/hyperlink" Target="https://www.sec.gov/Archives/edgar/data/1828972/000110465921085218/tm2120621d1_ex2-1.htm" TargetMode="External"/><Relationship Id="rId73" Type="http://schemas.openxmlformats.org/officeDocument/2006/relationships/hyperlink" Target="https://www.sec.gov/Archives/edgar/data/1828972/000110465921136139/tm2122219-17_s4a.htm#tANNA1" TargetMode="External"/><Relationship Id="rId74" Type="http://schemas.openxmlformats.org/officeDocument/2006/relationships/hyperlink" Target="https://www.sec.gov/Archives/edgar/data/1828972/000110465921148188/tm2134844d1_ex3-2.htm" TargetMode="External"/><Relationship Id="rId76" Type="http://schemas.openxmlformats.org/officeDocument/2006/relationships/hyperlink" Target="https://www.sec.gov/Archives/edgar/data/1828972/000110465921098380/tm2122219d3_ex2-2.htm" TargetMode="External"/><Relationship Id="rId77" Type="http://schemas.openxmlformats.org/officeDocument/2006/relationships/hyperlink" Target="https://www.sec.gov/Archives/edgar/data/1828972/000110465921098380/tm2122219d3_ex2-3.htm" TargetMode="External"/><Relationship Id="rId78" Type="http://schemas.openxmlformats.org/officeDocument/2006/relationships/hyperlink" Target="https://www.sec.gov/Archives/edgar/data/1828972/000110465921148188/tm2134844d1_ex3-1.htm" TargetMode="External"/><Relationship Id="rId79" Type="http://schemas.openxmlformats.org/officeDocument/2006/relationships/hyperlink" Target="https://www.sec.gov/Archives/edgar/data/1828972/000182897223000025/exhibit31delaware-buzzfeed.htm" TargetMode="External"/><Relationship Id="rId80" Type="http://schemas.openxmlformats.org/officeDocument/2006/relationships/hyperlink" Target="https://www.sec.gov/Archives/edgar/data/1828972/000182897223000084/whiteoakjoinderagreement05.htm" TargetMode="External"/><Relationship Id="rId81" Type="http://schemas.openxmlformats.org/officeDocument/2006/relationships/hyperlink" Target="https://www.sec.gov/Archives/edgar/data/1828972/000182897223000128/secondamendmenttoarloan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2023-08-09T15:53:55Z</dcterms:created>
  <dcterms:modified xsi:type="dcterms:W3CDTF">2023-08-09T15:53:55Z</dcterms:modified>
</cp:coreProperties>
</file>