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ind w:left="0" w:right="0" w:firstLine="36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CURRENT REPORT</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Pursuant to Section 13 or 15(d) of the</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Securities Exchange Act of 1934</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Date of report (Date of earliest event reported): November 28, 2023</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BuzzFeed, Inc.</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6194" w:type="dxa"/>
        <w:jc w:val="center"/>
        <w:tblInd w:w="0" w:type="dxa"/>
        <w:tblLayout w:type="fixed"/>
        <w:tblCellMar>
          <w:top w:w="28" w:type="dxa"/>
          <w:left w:w="28" w:type="dxa"/>
          <w:bottom w:w="28" w:type="dxa"/>
          <w:right w:w="28" w:type="dxa"/>
        </w:tblCellMar>
      </w:tblPr>
      <w:tblGrid>
        <w:gridCol w:w="1010"/>
        <w:gridCol w:w="886"/>
        <w:gridCol w:w="894"/>
        <w:gridCol w:w="423"/>
        <w:gridCol w:w="423"/>
        <w:gridCol w:w="428"/>
        <w:gridCol w:w="622"/>
        <w:gridCol w:w="622"/>
        <w:gridCol w:w="886"/>
      </w:tblGrid>
      <w:tr>
        <w:trPr/>
        <w:tc>
          <w:tcPr>
            <w:tcW w:w="1010"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2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001-39877</w:t>
            </w:r>
          </w:p>
        </w:tc>
        <w:tc>
          <w:tcPr>
            <w:tcW w:w="21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85-3022075</w:t>
            </w:r>
          </w:p>
        </w:tc>
      </w:tr>
      <w:tr>
        <w:trPr/>
        <w:tc>
          <w:tcPr>
            <w:tcW w:w="27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(State or other jurisdiction of </w:t>
              <w:br/>
              <w:t> incorporation or organization)</w:t>
            </w:r>
          </w:p>
        </w:tc>
        <w:tc>
          <w:tcPr>
            <w:tcW w:w="12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(Commission</w:t>
              <w:br/>
              <w:t> File Number)</w:t>
            </w:r>
          </w:p>
        </w:tc>
        <w:tc>
          <w:tcPr>
            <w:tcW w:w="21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(I.R.S. Employer</w:t>
              <w:br/>
              <w:t> Identification Number)</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229 West 43rd Street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New York, New York 10036</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(Address of registrant’s principal executive offices, and zip code)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(646) 397-2039</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(Registrant’s telephone number, including area code)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 applicable</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w:t>
      </w:r>
    </w:p>
    <w:tbl>
      <w:tblPr>
        <w:tblW w:w="9447" w:type="dxa"/>
        <w:jc w:val="left"/>
        <w:tblInd w:w="0" w:type="dxa"/>
        <w:tblLayout w:type="fixed"/>
        <w:tblCellMar>
          <w:top w:w="28" w:type="dxa"/>
          <w:left w:w="28" w:type="dxa"/>
          <w:bottom w:w="28" w:type="dxa"/>
          <w:right w:w="28" w:type="dxa"/>
        </w:tblCellMar>
      </w:tblPr>
      <w:tblGrid>
        <w:gridCol w:w="124"/>
        <w:gridCol w:w="109"/>
        <w:gridCol w:w="109"/>
        <w:gridCol w:w="2662"/>
        <w:gridCol w:w="2662"/>
        <w:gridCol w:w="378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2" w:type="dxa"/>
            <w:tcBorders/>
            <w:vAlign w:val="center"/>
          </w:tcPr>
          <w:p>
            <w:pPr>
              <w:pStyle w:val="TableContents"/>
              <w:bidi w:val="0"/>
              <w:spacing w:before="0" w:after="283"/>
              <w:jc w:val="left"/>
              <w:rPr>
                <w:sz w:val="4"/>
                <w:szCs w:val="4"/>
              </w:rPr>
            </w:pPr>
            <w:r>
              <w:rPr>
                <w:sz w:val="4"/>
                <w:szCs w:val="4"/>
              </w:rPr>
            </w:r>
          </w:p>
        </w:tc>
        <w:tc>
          <w:tcPr>
            <w:tcW w:w="2662" w:type="dxa"/>
            <w:tcBorders/>
            <w:vAlign w:val="center"/>
          </w:tcPr>
          <w:p>
            <w:pPr>
              <w:pStyle w:val="TableContents"/>
              <w:bidi w:val="0"/>
              <w:spacing w:before="0" w:after="283"/>
              <w:jc w:val="left"/>
              <w:rPr>
                <w:sz w:val="4"/>
                <w:szCs w:val="4"/>
              </w:rPr>
            </w:pPr>
            <w:r>
              <w:rPr>
                <w:sz w:val="4"/>
                <w:szCs w:val="4"/>
              </w:rPr>
            </w:r>
          </w:p>
        </w:tc>
        <w:tc>
          <w:tcPr>
            <w:tcW w:w="378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 pursuant to Rule 13e-4(c) under the Exchange Act (17 CFR 240.13e-4(c))</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2573"/>
        <w:gridCol w:w="2075"/>
        <w:gridCol w:w="2084"/>
        <w:gridCol w:w="109"/>
        <w:gridCol w:w="109"/>
        <w:gridCol w:w="109"/>
        <w:gridCol w:w="291"/>
        <w:gridCol w:w="291"/>
        <w:gridCol w:w="293"/>
        <w:gridCol w:w="109"/>
        <w:gridCol w:w="109"/>
        <w:gridCol w:w="109"/>
        <w:gridCol w:w="568"/>
        <w:gridCol w:w="568"/>
        <w:gridCol w:w="808"/>
      </w:tblGrid>
      <w:tr>
        <w:trPr/>
        <w:tc>
          <w:tcPr>
            <w:tcW w:w="2573"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2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r>
      <w:tr>
        <w:trPr/>
        <w:tc>
          <w:tcPr>
            <w:tcW w:w="673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Trading</w:t>
              <w:br/>
              <w:t>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Name of each exchange</w:t>
              <w:br/>
              <w:t> on which registered</w:t>
            </w:r>
          </w:p>
        </w:tc>
      </w:tr>
      <w:tr>
        <w:trPr/>
        <w:tc>
          <w:tcPr>
            <w:tcW w:w="67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Class A Common Stock, $0.0001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BZFD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The Nasdaq Stock Market LLC</w:t>
            </w:r>
          </w:p>
        </w:tc>
      </w:tr>
      <w:tr>
        <w:trPr/>
        <w:tc>
          <w:tcPr>
            <w:tcW w:w="673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Redeemable warrants, each whole warrant exercisable for one share of Class A Common Stock at an exercise price of $11.50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BZFDW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The Nasdaq Stock Market LLC</w:t>
            </w:r>
          </w:p>
        </w:tc>
      </w:tr>
    </w:tbl>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or Rule 12b-2 of the Securities Exchange Act of 1934.</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 ☒</w:t>
      </w:r>
    </w:p>
    <w:p>
      <w:pPr>
        <w:pStyle w:val="TextBody"/>
        <w:bidi w:val="0"/>
        <w:spacing w:lineRule="auto" w:line="288" w:before="0" w:after="720"/>
        <w:jc w:val="left"/>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ind w:left="0" w:right="0" w:firstLine="360"/>
                        <w:jc w:val="left"/>
                        <w:rPr/>
                      </w:pPr>
                      <w:r>
                        <w:rPr/>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3.01 Notice of Delisting or Failure to Satisfy a Continued Listing Rule or Standard; Transfer of Listing.</w:t>
      </w:r>
    </w:p>
    <w:p>
      <w:pPr>
        <w:pStyle w:val="TextBody"/>
        <w:bidi w:val="0"/>
        <w:spacing w:lineRule="auto" w:line="288" w:before="0" w:after="180"/>
        <w:ind w:left="0" w:right="0" w:firstLine="360"/>
        <w:jc w:val="both"/>
        <w:rPr/>
      </w:pPr>
      <w:r>
        <w:rPr>
          <w:rFonts w:ascii="Times New Roman;sans-serif" w:hAnsi="Times New Roman;sans-serif"/>
          <w:b w:val="false"/>
          <w:color w:val="000000"/>
          <w:sz w:val="20"/>
        </w:rPr>
        <w:t>As previously disclosed on a Current Report on Form 8-K filed by BuzzFeed, Inc. (the “</w:t>
      </w:r>
      <w:r>
        <w:rPr>
          <w:rFonts w:ascii="Times New Roman;sans-serif" w:hAnsi="Times New Roman;sans-serif"/>
          <w:b w:val="false"/>
          <w:color w:val="000000"/>
          <w:sz w:val="20"/>
          <w:u w:val="single"/>
        </w:rPr>
        <w:t>Company</w:t>
      </w:r>
      <w:r>
        <w:rPr>
          <w:color w:val="000000"/>
        </w:rPr>
        <w:t>”</w:t>
      </w:r>
      <w:r>
        <w:rPr>
          <w:rFonts w:ascii="Times New Roman;sans-serif" w:hAnsi="Times New Roman;sans-serif"/>
          <w:b w:val="false"/>
          <w:color w:val="000000"/>
          <w:sz w:val="20"/>
        </w:rPr>
        <w:t>) on June 2, 2023, on May 31, 2023, the Company received a letter from the Listing Qualifications Department (the “</w:t>
      </w:r>
      <w:r>
        <w:rPr>
          <w:rFonts w:ascii="Times New Roman;sans-serif" w:hAnsi="Times New Roman;sans-serif"/>
          <w:b w:val="false"/>
          <w:color w:val="000000"/>
          <w:sz w:val="20"/>
          <w:u w:val="single"/>
        </w:rPr>
        <w:t>Staff</w:t>
      </w:r>
      <w:r>
        <w:rPr>
          <w:color w:val="000000"/>
        </w:rPr>
        <w:t>”</w:t>
      </w:r>
      <w:r>
        <w:rPr>
          <w:rFonts w:ascii="Times New Roman;sans-serif" w:hAnsi="Times New Roman;sans-serif"/>
          <w:b w:val="false"/>
          <w:color w:val="000000"/>
          <w:sz w:val="20"/>
        </w:rPr>
        <w:t>) of the Nasdaq Stock Market LLC (“</w:t>
      </w:r>
      <w:r>
        <w:rPr>
          <w:rFonts w:ascii="Times New Roman;sans-serif" w:hAnsi="Times New Roman;sans-serif"/>
          <w:b w:val="false"/>
          <w:color w:val="000000"/>
          <w:sz w:val="20"/>
          <w:u w:val="single"/>
        </w:rPr>
        <w:t>Nasdaq</w:t>
      </w:r>
      <w:r>
        <w:rPr>
          <w:color w:val="000000"/>
        </w:rPr>
        <w:t>”</w:t>
      </w:r>
      <w:r>
        <w:rPr>
          <w:rFonts w:ascii="Times New Roman;sans-serif" w:hAnsi="Times New Roman;sans-serif"/>
          <w:b w:val="false"/>
          <w:color w:val="000000"/>
          <w:sz w:val="20"/>
        </w:rPr>
        <w:t>) notifying the Company that, for the previous 30 consecutive business days, the bid price for the Company’s common stock had closed below the minimum $1.00 per share requirement for continued listing on the Nasdaq Global Market under Nasdaq Listing Rule 5550(a)(2) (the “</w:t>
      </w:r>
      <w:r>
        <w:rPr>
          <w:rFonts w:ascii="Times New Roman;sans-serif" w:hAnsi="Times New Roman;sans-serif"/>
          <w:b w:val="false"/>
          <w:color w:val="000000"/>
          <w:sz w:val="20"/>
          <w:u w:val="single"/>
        </w:rPr>
        <w:t>Bid Price Requirement</w:t>
      </w:r>
      <w:r>
        <w:rPr>
          <w:color w:val="000000"/>
        </w:rPr>
        <w:t>”</w:t>
      </w:r>
      <w:r>
        <w:rPr>
          <w:rFonts w:ascii="Times New Roman;sans-serif" w:hAnsi="Times New Roman;sans-serif"/>
          <w:b w:val="false"/>
          <w:color w:val="000000"/>
          <w:sz w:val="20"/>
        </w:rPr>
        <w:t xml:space="preserve">). In accordance with Nasdaq Listing Rule 5810(c)(3)(A), the Company was provided an initial period of 180 calendar days, or until November 27, 2023, to regain compliance with the Bid Price Requirement. As of the date of this Current Report on Form 8-K, the Company’s common stock has not regained compliance with the Bid Price Requirement. </w:t>
      </w:r>
    </w:p>
    <w:p>
      <w:pPr>
        <w:pStyle w:val="TextBody"/>
        <w:bidi w:val="0"/>
        <w:spacing w:lineRule="auto" w:line="288" w:before="0" w:after="180"/>
        <w:ind w:left="0" w:right="0" w:firstLine="360"/>
        <w:jc w:val="both"/>
        <w:rPr/>
      </w:pPr>
      <w:r>
        <w:rPr>
          <w:rFonts w:ascii="Times New Roman;sans-serif" w:hAnsi="Times New Roman;sans-serif"/>
          <w:b w:val="false"/>
          <w:color w:val="000000"/>
          <w:sz w:val="20"/>
        </w:rPr>
        <w:t>However, upon receipt of both the Company’s application to transfer from the Nasdaq Global Market to the Nasdaq Capital Market and a written notification by the Company of its intent to regain compliance with the Bid Price Requirement, including by effecting a reverse stock split, if necessary, the Staff notified the Company in a letter dated November 28, 2023 (the “</w:t>
      </w:r>
      <w:r>
        <w:rPr>
          <w:rFonts w:ascii="Times New Roman;sans-serif" w:hAnsi="Times New Roman;sans-serif"/>
          <w:b w:val="false"/>
          <w:color w:val="000000"/>
          <w:sz w:val="20"/>
          <w:u w:val="single"/>
        </w:rPr>
        <w:t>Second Nasdaq Notice</w:t>
      </w:r>
      <w:r>
        <w:rPr>
          <w:color w:val="000000"/>
        </w:rPr>
        <w:t>”</w:t>
      </w:r>
      <w:r>
        <w:rPr>
          <w:rFonts w:ascii="Times New Roman;sans-serif" w:hAnsi="Times New Roman;sans-serif"/>
          <w:b w:val="false"/>
          <w:color w:val="000000"/>
          <w:sz w:val="20"/>
        </w:rPr>
        <w:t>), that the Company is eligible for an additional 180 calendar day period, or until May 28, 2024, to regain compliance (the “</w:t>
      </w:r>
      <w:r>
        <w:rPr>
          <w:rFonts w:ascii="Times New Roman;sans-serif" w:hAnsi="Times New Roman;sans-serif"/>
          <w:b w:val="false"/>
          <w:color w:val="000000"/>
          <w:sz w:val="20"/>
          <w:u w:val="single"/>
        </w:rPr>
        <w:t>Second Compliance Period</w:t>
      </w:r>
      <w:r>
        <w:rPr>
          <w:color w:val="000000"/>
        </w:rPr>
        <w:t>”</w:t>
      </w:r>
      <w:r>
        <w:rPr>
          <w:rFonts w:ascii="Times New Roman;sans-serif" w:hAnsi="Times New Roman;sans-serif"/>
          <w:b w:val="false"/>
          <w:color w:val="000000"/>
          <w:sz w:val="20"/>
        </w:rPr>
        <w:t>). The Staff’s determination was based, in part, on the Company meeting the continued listing requirement for market value of publicly held shares and all other applicable requirements for initial listing on the Nasdaq Capital Market except for the Minimum Bid Price Requirement. As of the opening of business November 30, 2023, the Company’s common stock and warrants will be transferred to the Nasdaq Capital Market, which operates in substantially the same manner as the Nasdaq Global Market, where they will continue to trade under the symbols “BZFD” and “BZFDW,” respectively.</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intends to continue actively monitoring the bid price for its shares of Common Stock between now and the expiration of the Second Compliance Period and, as noted above, will consider all available options to resolve the deficiency including a reverse stock split, if necessary, with every intention to regain compliance with the Minimum Bid Price Requirement. If the Company chooses to effect a reverse stock split, it will have to be implemented no later than ten business days prior to the end of the Second Compliance Period (i.e., by May 13, 2024). </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the Company does not regain compliance with the Minimum Bid Price Requirement by the end of the Second Compliance Period, Nasdaq will notify the Company that its securities would be subject to delisting. In the event of such a notification, the Company may appeal the Staff’s determination to delist its securities before the Nasdaq Listing Qualifications Panel. However, there can be no assurance that, if the Company receives a delisting notice and appeals the delisting determination, such an appeal would be successful.</w:t>
      </w:r>
    </w:p>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 xml:space="preserve">(d) </w:t>
      </w:r>
      <w:r>
        <w:rPr>
          <w:rFonts w:ascii="Times New Roman;sans-serif" w:hAnsi="Times New Roman;sans-serif"/>
          <w:b w:val="false"/>
          <w:i/>
          <w:color w:val="000000"/>
          <w:sz w:val="20"/>
        </w:rPr>
        <w:t>Exhibits</w:t>
      </w:r>
    </w:p>
    <w:tbl>
      <w:tblPr>
        <w:tblW w:w="8245" w:type="dxa"/>
        <w:jc w:val="left"/>
        <w:tblInd w:w="0" w:type="dxa"/>
        <w:tblLayout w:type="fixed"/>
        <w:tblCellMar>
          <w:top w:w="28" w:type="dxa"/>
          <w:left w:w="28" w:type="dxa"/>
          <w:bottom w:w="28" w:type="dxa"/>
          <w:right w:w="28" w:type="dxa"/>
        </w:tblCellMar>
      </w:tblPr>
      <w:tblGrid>
        <w:gridCol w:w="460"/>
        <w:gridCol w:w="406"/>
        <w:gridCol w:w="408"/>
        <w:gridCol w:w="109"/>
        <w:gridCol w:w="109"/>
        <w:gridCol w:w="109"/>
        <w:gridCol w:w="1938"/>
        <w:gridCol w:w="1938"/>
        <w:gridCol w:w="2768"/>
      </w:tblGrid>
      <w:tr>
        <w:trPr/>
        <w:tc>
          <w:tcPr>
            <w:tcW w:w="460"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8" w:type="dxa"/>
            <w:tcBorders/>
            <w:vAlign w:val="center"/>
          </w:tcPr>
          <w:p>
            <w:pPr>
              <w:pStyle w:val="TableContents"/>
              <w:bidi w:val="0"/>
              <w:spacing w:before="0" w:after="283"/>
              <w:jc w:val="left"/>
              <w:rPr>
                <w:sz w:val="4"/>
                <w:szCs w:val="4"/>
              </w:rPr>
            </w:pPr>
            <w:r>
              <w:rPr>
                <w:sz w:val="4"/>
                <w:szCs w:val="4"/>
              </w:rPr>
            </w:r>
          </w:p>
        </w:tc>
        <w:tc>
          <w:tcPr>
            <w:tcW w:w="1938" w:type="dxa"/>
            <w:tcBorders/>
            <w:vAlign w:val="center"/>
          </w:tcPr>
          <w:p>
            <w:pPr>
              <w:pStyle w:val="TableContents"/>
              <w:bidi w:val="0"/>
              <w:spacing w:before="0" w:after="283"/>
              <w:jc w:val="left"/>
              <w:rPr>
                <w:sz w:val="4"/>
                <w:szCs w:val="4"/>
              </w:rPr>
            </w:pPr>
            <w:r>
              <w:rPr>
                <w:sz w:val="4"/>
                <w:szCs w:val="4"/>
              </w:rPr>
            </w:r>
          </w:p>
        </w:tc>
        <w:tc>
          <w:tcPr>
            <w:tcW w:w="2768" w:type="dxa"/>
            <w:tcBorders/>
            <w:vAlign w:val="center"/>
          </w:tcPr>
          <w:p>
            <w:pPr>
              <w:pStyle w:val="TableContents"/>
              <w:bidi w:val="0"/>
              <w:spacing w:before="0" w:after="283"/>
              <w:jc w:val="left"/>
              <w:rPr>
                <w:sz w:val="4"/>
                <w:szCs w:val="4"/>
              </w:rPr>
            </w:pPr>
            <w:r>
              <w:rPr>
                <w:sz w:val="4"/>
                <w:szCs w:val="4"/>
              </w:rPr>
            </w:r>
          </w:p>
        </w:tc>
      </w:tr>
      <w:tr>
        <w:trPr/>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80" w:after="18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ind w:left="0" w:right="0" w:firstLine="360"/>
                        <w:jc w:val="left"/>
                        <w:rPr/>
                      </w:pPr>
                      <w:r>
                        <w:rPr/>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as amended, the registrant has duly caused this report to be signed on its behalf by the undersigned hereunto duly authorized.</w:t>
      </w:r>
    </w:p>
    <w:tbl>
      <w:tblPr>
        <w:tblW w:w="3641" w:type="dxa"/>
        <w:jc w:val="left"/>
        <w:tblInd w:w="0" w:type="dxa"/>
        <w:tblLayout w:type="fixed"/>
        <w:tblCellMar>
          <w:top w:w="28" w:type="dxa"/>
          <w:left w:w="28" w:type="dxa"/>
          <w:bottom w:w="28" w:type="dxa"/>
          <w:right w:w="28" w:type="dxa"/>
        </w:tblCellMar>
      </w:tblPr>
      <w:tblGrid>
        <w:gridCol w:w="390"/>
        <w:gridCol w:w="343"/>
        <w:gridCol w:w="343"/>
        <w:gridCol w:w="751"/>
        <w:gridCol w:w="751"/>
        <w:gridCol w:w="1063"/>
      </w:tblGrid>
      <w:tr>
        <w:trPr/>
        <w:tc>
          <w:tcPr>
            <w:tcW w:w="390"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r>
      <w:tr>
        <w:trPr/>
        <w:tc>
          <w:tcPr>
            <w:tcW w:w="364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29, 2023</w:t>
            </w:r>
          </w:p>
        </w:tc>
      </w:tr>
      <w:tr>
        <w:trPr/>
        <w:tc>
          <w:tcPr>
            <w:tcW w:w="364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BuzzFeed, Inc.</w:t>
            </w:r>
          </w:p>
        </w:tc>
      </w:tr>
      <w:tr>
        <w:trPr/>
        <w:tc>
          <w:tcPr>
            <w:tcW w:w="10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0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/s/ Jonah Peretti</w:t>
            </w:r>
          </w:p>
        </w:tc>
      </w:tr>
      <w:tr>
        <w:trPr/>
        <w:tc>
          <w:tcPr>
            <w:tcW w:w="10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Jonah Peretti</w:t>
            </w:r>
          </w:p>
        </w:tc>
      </w:tr>
      <w:tr>
        <w:trPr/>
        <w:tc>
          <w:tcPr>
            <w:tcW w:w="10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Chief Executive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3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ind w:left="0" w:right="0" w:firstLine="3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918</Words>
  <Characters>4911</Characters>
  <CharactersWithSpaces>5778</CharactersWithSpaces>
  <Paragraphs>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