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18"/>
        </w:rPr>
        <w:t>For the quarterly period ended</w:t>
      </w:r>
      <w:r>
        <w:rPr>
          <w:color w:val="000000"/>
        </w:rPr>
        <w:t xml:space="preserve"> </w:t>
      </w:r>
      <w:r>
        <w:rPr>
          <w:rFonts w:ascii="Times New Roman;sans-serif" w:hAnsi="Times New Roman;sans-serif"/>
          <w:b/>
          <w:color w:val="000000"/>
          <w:sz w:val="18"/>
        </w:rPr>
        <w:t>September 30,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6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001-39877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BuzzFeed,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85-3022075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229 West 43rd Street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10036</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(646) 397-2039</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8"/>
        <w:gridCol w:w="2076"/>
        <w:gridCol w:w="2085"/>
        <w:gridCol w:w="405"/>
        <w:gridCol w:w="387"/>
        <w:gridCol w:w="389"/>
        <w:gridCol w:w="676"/>
        <w:gridCol w:w="676"/>
        <w:gridCol w:w="963"/>
      </w:tblGrid>
      <w:tr>
        <w:trPr/>
        <w:tc>
          <w:tcPr>
            <w:tcW w:w="254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6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23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6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$0.0001 par value per share</w:t>
            </w:r>
          </w:p>
        </w:tc>
        <w:tc>
          <w:tcPr>
            <w:tcW w:w="11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BZFD</w:t>
            </w:r>
          </w:p>
        </w:tc>
        <w:tc>
          <w:tcPr>
            <w:tcW w:w="23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r>
        <w:trPr/>
        <w:tc>
          <w:tcPr>
            <w:tcW w:w="6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warrants, each whole warrant exercisable for one share of Class A Common Stock at an exercise price of $11.50 per share</w:t>
            </w:r>
          </w:p>
        </w:tc>
        <w:tc>
          <w:tcPr>
            <w:tcW w:w="11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BZFDW</w:t>
            </w:r>
          </w:p>
        </w:tc>
        <w:tc>
          <w:tcPr>
            <w:tcW w:w="231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1, 2023, there were 138,228,523 shares of the registrant’s Class A common stock outstanding, 6,675,517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272" w:type="dxa"/>
        <w:jc w:val="left"/>
        <w:tblInd w:w="0" w:type="dxa"/>
        <w:tblLayout w:type="fixed"/>
        <w:tblCellMar>
          <w:top w:w="28" w:type="dxa"/>
          <w:left w:w="28" w:type="dxa"/>
          <w:bottom w:w="28" w:type="dxa"/>
          <w:right w:w="28" w:type="dxa"/>
        </w:tblCellMar>
      </w:tblPr>
      <w:tblGrid>
        <w:gridCol w:w="494"/>
        <w:gridCol w:w="433"/>
        <w:gridCol w:w="439"/>
        <w:gridCol w:w="2454"/>
        <w:gridCol w:w="2454"/>
        <w:gridCol w:w="2457"/>
        <w:gridCol w:w="158"/>
        <w:gridCol w:w="158"/>
        <w:gridCol w:w="2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3">
              <w:r>
                <w:rPr>
                  <w:rStyle w:val="InternetLink"/>
                  <w:rFonts w:ascii="Times New Roman;sans-serif" w:hAnsi="Times New Roman;sans-serif"/>
                  <w:b/>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3">
              <w:r>
                <w:rPr>
                  <w:rStyle w:val="InternetLink"/>
                  <w:rFonts w:ascii="Times New Roman;sans-serif" w:hAnsi="Times New Roman;sans-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3">
              <w:r>
                <w:rPr>
                  <w:rStyle w:val="InternetLink"/>
                  <w:rFonts w:ascii="Times New Roman;sans-serif" w:hAnsi="Times New Roman;sans-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
              <w:r>
                <w:rPr>
                  <w:rStyle w:val="InternetLink"/>
                  <w:rFonts w:ascii="Times New Roman;sans-serif" w:hAnsi="Times New Roman;sans-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6">
              <w:r>
                <w:rPr>
                  <w:rStyle w:val="InternetLink"/>
                  <w:rFonts w:ascii="Times New Roman;sans-serif" w:hAnsi="Times New Roman;sans-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9">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9">
              <w:r>
                <w:rPr>
                  <w:rStyle w:val="InternetLink"/>
                  <w:rFonts w:ascii="Times New Roman;sans-serif" w:hAnsi="Times New Roman;sans-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22">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22">
              <w:r>
                <w:rPr>
                  <w:rStyle w:val="InternetLink"/>
                  <w:rFonts w:ascii="Times New Roman;sans-serif" w:hAnsi="Times New Roman;sans-serif"/>
                  <w:b w:val="false"/>
                  <w:strike w:val="false"/>
                  <w:dstrike w:val="false"/>
                  <w:color w:val="000000"/>
                  <w:sz w:val="20"/>
                  <w:u w:val="none"/>
                  <w:effect w:val="non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25">
              <w:r>
                <w:rPr>
                  <w:rStyle w:val="InternetLink"/>
                  <w:rFonts w:ascii="Times New Roman;sans-serif" w:hAnsi="Times New Roman;sans-serif"/>
                  <w:b w:val="false"/>
                  <w:color w:val="0000FF"/>
                  <w:sz w:val="20"/>
                  <w:u w:val="single"/>
                </w:rPr>
                <w:t>Condensed 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25">
              <w:r>
                <w:rPr>
                  <w:rStyle w:val="InternetLink"/>
                  <w:rFonts w:ascii="Times New Roman;sans-serif" w:hAnsi="Times New Roman;sans-serif"/>
                  <w:b w:val="false"/>
                  <w:strike w:val="false"/>
                  <w:dstrike w:val="false"/>
                  <w:color w:val="000000"/>
                  <w:sz w:val="20"/>
                  <w:u w:val="none"/>
                  <w:effect w:val="non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28">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28">
              <w:r>
                <w:rPr>
                  <w:rStyle w:val="InternetLink"/>
                  <w:rFonts w:ascii="Times New Roman;sans-serif" w:hAnsi="Times New Roman;sans-serif"/>
                  <w:b w:val="false"/>
                  <w:strike w:val="false"/>
                  <w:dstrike w:val="false"/>
                  <w:color w:val="000000"/>
                  <w:sz w:val="20"/>
                  <w:u w:val="none"/>
                  <w:effect w:val="non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31">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31">
              <w:r>
                <w:rPr>
                  <w:rStyle w:val="InternetLink"/>
                  <w:rFonts w:ascii="Times New Roman;sans-serif" w:hAnsi="Times New Roman;sans-serif"/>
                  <w:b w:val="false"/>
                  <w:strike w:val="false"/>
                  <w:dstrike w:val="false"/>
                  <w:color w:val="000000"/>
                  <w:sz w:val="20"/>
                  <w:u w:val="none"/>
                  <w:effect w:val="non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34">
              <w:r>
                <w:rPr>
                  <w:rStyle w:val="InternetLink"/>
                  <w:rFonts w:ascii="Times New Roman;sans-serif" w:hAnsi="Times New Roman;sans-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34">
              <w:r>
                <w:rPr>
                  <w:rStyle w:val="InternetLink"/>
                  <w:rFonts w:ascii="Times New Roman;sans-serif" w:hAnsi="Times New Roman;sans-serif"/>
                  <w:b w:val="false"/>
                  <w:strike w:val="false"/>
                  <w:dstrike w:val="false"/>
                  <w:color w:val="000000"/>
                  <w:sz w:val="20"/>
                  <w:u w:val="none"/>
                  <w:effect w:val="none"/>
                </w:rPr>
                <w:t>11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03">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03">
              <w:r>
                <w:rPr>
                  <w:rStyle w:val="InternetLink"/>
                  <w:rFonts w:ascii="Times New Roman;sans-serif" w:hAnsi="Times New Roman;sans-serif"/>
                  <w:b w:val="false"/>
                  <w:strike w:val="false"/>
                  <w:dstrike w:val="false"/>
                  <w:color w:val="000000"/>
                  <w:sz w:val="20"/>
                  <w:u w:val="none"/>
                  <w:effect w:val="none"/>
                </w:rPr>
                <w:t>32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54">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54">
              <w:r>
                <w:rPr>
                  <w:rStyle w:val="InternetLink"/>
                  <w:rFonts w:ascii="Times New Roman;sans-serif" w:hAnsi="Times New Roman;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54">
              <w:r>
                <w:rPr>
                  <w:rStyle w:val="InternetLink"/>
                  <w:rFonts w:ascii="Times New Roman;sans-serif" w:hAnsi="Times New Roman;sans-serif"/>
                  <w:b w:val="false"/>
                  <w:strike w:val="false"/>
                  <w:dstrike w:val="false"/>
                  <w:color w:val="000000"/>
                  <w:sz w:val="20"/>
                  <w:u w:val="none"/>
                  <w:effect w:val="none"/>
                </w:rPr>
                <w:t>49</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57">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57">
              <w:r>
                <w:rPr>
                  <w:rStyle w:val="InternetLink"/>
                  <w:rFonts w:ascii="Times New Roman;sans-serif" w:hAnsi="Times New Roman;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57">
              <w:r>
                <w:rPr>
                  <w:rStyle w:val="InternetLink"/>
                  <w:rFonts w:ascii="Times New Roman;sans-serif" w:hAnsi="Times New Roman;sans-serif"/>
                  <w:b w:val="false"/>
                  <w:strike w:val="false"/>
                  <w:dstrike w:val="false"/>
                  <w:color w:val="000000"/>
                  <w:sz w:val="20"/>
                  <w:u w:val="none"/>
                  <w:effect w:val="none"/>
                </w:rPr>
                <w:t>50</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0">
              <w:r>
                <w:rPr>
                  <w:rStyle w:val="InternetLink"/>
                  <w:rFonts w:ascii="Times New Roman;sans-serif" w:hAnsi="Times New Roman;sans-serif"/>
                  <w:b/>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0">
              <w:r>
                <w:rPr>
                  <w:rStyle w:val="InternetLink"/>
                  <w:rFonts w:ascii="Times New Roman;sans-serif" w:hAnsi="Times New Roman;sans-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60">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3">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3">
              <w:r>
                <w:rPr>
                  <w:rStyle w:val="InternetLink"/>
                  <w:rFonts w:ascii="Times New Roman;sans-serif" w:hAnsi="Times New Roman;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63">
              <w:r>
                <w:rPr>
                  <w:rStyle w:val="InternetLink"/>
                  <w:rFonts w:ascii="Times New Roman;sans-serif" w:hAnsi="Times New Roman;sans-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6">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6">
              <w:r>
                <w:rPr>
                  <w:rStyle w:val="InternetLink"/>
                  <w:rFonts w:ascii="Times New Roman;sans-serif" w:hAnsi="Times New Roman;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66">
              <w:r>
                <w:rPr>
                  <w:rStyle w:val="InternetLink"/>
                  <w:rFonts w:ascii="Times New Roman;sans-serif" w:hAnsi="Times New Roman;sans-serif"/>
                  <w:b w:val="false"/>
                  <w:strike w:val="false"/>
                  <w:dstrike w:val="false"/>
                  <w:color w:val="000000"/>
                  <w:sz w:val="20"/>
                  <w:u w:val="none"/>
                  <w:effect w:val="none"/>
                </w:rPr>
                <w:t>52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9">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69">
              <w:r>
                <w:rPr>
                  <w:rStyle w:val="InternetLink"/>
                  <w:rFonts w:ascii="Times New Roman;sans-serif" w:hAnsi="Times New Roman;sans-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69">
              <w:r>
                <w:rPr>
                  <w:rStyle w:val="InternetLink"/>
                  <w:rFonts w:ascii="Times New Roman;sans-serif" w:hAnsi="Times New Roman;sans-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72">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72">
              <w:r>
                <w:rPr>
                  <w:rStyle w:val="InternetLink"/>
                  <w:rFonts w:ascii="Times New Roman;sans-serif" w:hAnsi="Times New Roman;sans-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72">
              <w:r>
                <w:rPr>
                  <w:rStyle w:val="InternetLink"/>
                  <w:rFonts w:ascii="Times New Roman;sans-serif" w:hAnsi="Times New Roman;sans-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75">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75">
              <w:r>
                <w:rPr>
                  <w:rStyle w:val="InternetLink"/>
                  <w:rFonts w:ascii="Times New Roman;sans-serif" w:hAnsi="Times New Roman;sans-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75">
              <w:r>
                <w:rPr>
                  <w:rStyle w:val="InternetLink"/>
                  <w:rFonts w:ascii="Times New Roman;sans-serif" w:hAnsi="Times New Roman;sans-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78">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78">
              <w:r>
                <w:rPr>
                  <w:rStyle w:val="InternetLink"/>
                  <w:rFonts w:ascii="Times New Roman;sans-serif" w:hAnsi="Times New Roman;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78">
              <w:r>
                <w:rPr>
                  <w:rStyle w:val="InternetLink"/>
                  <w:rFonts w:ascii="Times New Roman;sans-serif" w:hAnsi="Times New Roman;sans-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81">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81">
              <w:r>
                <w:rPr>
                  <w:rStyle w:val="InternetLink"/>
                  <w:rFonts w:ascii="Times New Roman;sans-serif" w:hAnsi="Times New Roman;sans-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81">
              <w:r>
                <w:rPr>
                  <w:rStyle w:val="InternetLink"/>
                  <w:rFonts w:ascii="Times New Roman;sans-serif" w:hAnsi="Times New Roman;sans-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57629e85fff4a88acfd9f0cadfedaa9_184">
              <w:r>
                <w:rPr>
                  <w:rStyle w:val="InternetLink"/>
                  <w:rFonts w:ascii="Times New Roman;sans-serif" w:hAnsi="Times New Roman;sans-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57629e85fff4a88acfd9f0cadfedaa9_184">
              <w:r>
                <w:rPr>
                  <w:rStyle w:val="InternetLink"/>
                  <w:rFonts w:ascii="Times New Roman;sans-serif" w:hAnsi="Times New Roman;sans-serif"/>
                  <w:b w:val="false"/>
                  <w:strike w:val="false"/>
                  <w:dstrike w:val="false"/>
                  <w:color w:val="000000"/>
                  <w:sz w:val="20"/>
                  <w:u w:val="none"/>
                  <w:effect w:val="none"/>
                </w:rPr>
                <w:t>58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 looking statements include all matters that are not historical facts.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and uncertainties include, but are not limited to:</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anticipated trends, growth rates, and challenges in our business and in the markets in which we operate;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demand for our products and services or changes in traffic or engagement with our brands and content;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developments and projections relating to our competitors and the digital media industry, including the overall demand for advertising in the markets in which we operate;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impact of national and local economic and other conditions and developments in technology, each of which could influence the levels (rate and volume) of our advertising, the growth of our business, and the implementation of our strategic initiatives;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success in integrating and supporting the companies we acquire;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poor quality broadband infrastructure in certain markets;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technological developments, including artificial intelligence;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success in retaining or recruiting, or changes required with respect to, officers, key employees or directors;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business, operations, and financial performance, including expectations with respect to our financial and business performance and the benefits of our restructuring, including financial projections and business metrics, and any underlying assumptions thereunder, future business plans and initiatives, and growth opportunities;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our future capital requirements and sources and uses of cash, including, but not limited to, our ability to obtain additional capital in the future and the actions we may need to take in order to generate capital to fund our operations, any impacts of bank failures or issues in the broader United States (“U.S.”) or global financial systems, any restrictions imposed by our debt facilities, and any restrictions on our ability to access our cash and cash equivalents;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expectations regarding future acquisitions, partnerships, or other relationships with third parties;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developments in the law and government regulation, including, but not limited to, revised foreign content and ownership regulations, and the outcomes of legal proceedings, regulatory disputes and governmental investigations to which we are subject;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 xml:space="preserve">the anticipated impacts of current global supply chain disruptions; the war between Israel and Hamas or further escalation of tensions between Russia and Western countries and the related sanctions and geopolitical tensions, as well as further escalation of trade tensions between the U.S. and China; the inflationary environment; the tight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labor market; the continued impact of the COVID-19 pandemic and evolving strains of COVID-19; and other macroeconomic factors on our business and the actions we may take in the future in response thereto;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the listing of our Class A common stock and warrants on The Nasdaq Stock Market LLC;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factors detailed under the section entitled “Risk Factors” herein, in our Quarterly Report on Form 10-Q for the quarter ended March 31, 2023, and in our Annual Report on Form 10-K for the year ended December 31, 2022.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in our Quarterly Report on Form 10-Q for the quarter ended March 31, 2023, and in our Annual Report on Form 10-K for the year ended December 31, 2022.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herein, in our Quarterly Report on Form 10-Q for the quarter ended March 31, 2023, and in our Annual Report on Form 10-K for the year ended December 31, 2022. These and other factors could cause results to differ materially from those expressed in these publications and reports.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BUZZFEED,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CONDENSED CONSOLIDATED BALANCE SHEETS </w:t>
      </w:r>
    </w:p>
    <w:p>
      <w:pPr>
        <w:pStyle w:val="TextBody"/>
        <w:bidi w:val="0"/>
        <w:spacing w:lineRule="auto" w:line="288" w:before="0" w:after="0"/>
        <w:jc w:val="center"/>
        <w:rPr/>
      </w:pPr>
      <w:r>
        <w:rPr>
          <w:rFonts w:ascii="Times New Roman;sans-serif" w:hAnsi="Times New Roman;sans-serif"/>
          <w:b w:val="false"/>
          <w:color w:val="000000"/>
          <w:sz w:val="16"/>
        </w:rPr>
        <w:t>(</w:t>
      </w:r>
      <w:r>
        <w:rPr>
          <w:rFonts w:ascii="Times New Roman;sans-serif" w:hAnsi="Times New Roman;sans-serif"/>
          <w:b w:val="false"/>
          <w:i/>
          <w:color w:val="000000"/>
          <w:sz w:val="16"/>
        </w:rPr>
        <w:t>Dollars and shares in thousands, except per share amounts</w:t>
      </w:r>
      <w:r>
        <w:rPr>
          <w:rFonts w:ascii="Times New Roman;sans-serif" w:hAnsi="Times New Roman;sans-serif"/>
          <w:b w:val="false"/>
          <w:color w:val="000000"/>
          <w:sz w:val="16"/>
        </w:rPr>
        <w:t>)</w:t>
      </w:r>
    </w:p>
    <w:tbl>
      <w:tblPr>
        <w:tblW w:w="10205" w:type="dxa"/>
        <w:jc w:val="left"/>
        <w:tblInd w:w="0" w:type="dxa"/>
        <w:tblLayout w:type="fixed"/>
        <w:tblCellMar>
          <w:top w:w="28" w:type="dxa"/>
          <w:left w:w="28" w:type="dxa"/>
          <w:bottom w:w="28" w:type="dxa"/>
          <w:right w:w="28" w:type="dxa"/>
        </w:tblCellMar>
      </w:tblPr>
      <w:tblGrid>
        <w:gridCol w:w="2796"/>
        <w:gridCol w:w="2330"/>
        <w:gridCol w:w="2314"/>
        <w:gridCol w:w="243"/>
        <w:gridCol w:w="935"/>
        <w:gridCol w:w="135"/>
        <w:gridCol w:w="109"/>
        <w:gridCol w:w="109"/>
        <w:gridCol w:w="109"/>
        <w:gridCol w:w="199"/>
        <w:gridCol w:w="765"/>
        <w:gridCol w:w="161"/>
      </w:tblGrid>
      <w:tr>
        <w:trPr/>
        <w:tc>
          <w:tcPr>
            <w:tcW w:w="2796"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of $1,996 as at September 30, 2023 and $1,879 as at December 31, 2022)</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costs, net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431,207</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529,972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107,803 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157,061 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309,252</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335,418</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700,000 shares authorized; 138,201 and 126,387 shares issued and outstanding at September 30, 2023 and December 31, 2022, respectively</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$0.0001 par value; 20,000 shares authorized; 6,676 and 6,678 shares issued and outstanding at September 30, 2023 and December 31, 2022, respectively</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ans-serif" w:hAnsi="Times New Roman;sans-serif"/>
                <w:b w:val="false"/>
                <w:color w:val="000000"/>
                <w:sz w:val="16"/>
              </w:rPr>
            </w:pPr>
            <w:r>
              <w:rPr>
                <w:rFonts w:ascii="Times New Roman;sans-serif" w:hAnsi="Times New Roman;sans-serif"/>
                <w:b w:val="false"/>
                <w:color w:val="000000"/>
                <w:sz w:val="16"/>
              </w:rPr>
              <w:t>Class C Common stock, $0.0001 par value; 10,000 shares authorized; 0 and 6,478 shares issued and outstanding at September 30, 2023 and December 31, 2022, respectively</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721,980 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716,233 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(600,748)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(523,063)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BuzzFeed, Inc. stockholders’ equity</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191,217 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121,955 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431,207</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529,972</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pPr>
      <w:r>
        <w:rPr>
          <w:rFonts w:ascii="Times New Roman;sans-serif" w:hAnsi="Times New Roman;sans-serif"/>
          <w:b w:val="false"/>
          <w:i/>
          <w:color w:val="000000"/>
          <w:sz w:val="20"/>
        </w:rPr>
        <w:t>(Unaudited, dollars and shares</w:t>
      </w:r>
      <w:r>
        <w:rPr>
          <w:color w:val="000000"/>
        </w:rPr>
        <w:t xml:space="preserve"> </w:t>
      </w:r>
      <w:r>
        <w:rPr>
          <w:rFonts w:ascii="Times New Roman;sans-serif" w:hAnsi="Times New Roman;sans-serif"/>
          <w:b w:val="false"/>
          <w:color w:val="000000"/>
          <w:sz w:val="20"/>
        </w:rPr>
        <w:t>i</w:t>
      </w:r>
      <w:r>
        <w:rPr>
          <w:rFonts w:ascii="Times New Roman;sans-serif" w:hAnsi="Times New Roman;sans-serif"/>
          <w:b w:val="false"/>
          <w:i/>
          <w:color w:val="000000"/>
          <w:sz w:val="20"/>
        </w:rPr>
        <w:t>n thousands, except per share amounts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12"/>
        <w:gridCol w:w="1420"/>
        <w:gridCol w:w="1431"/>
        <w:gridCol w:w="216"/>
        <w:gridCol w:w="805"/>
        <w:gridCol w:w="112"/>
        <w:gridCol w:w="112"/>
        <w:gridCol w:w="112"/>
        <w:gridCol w:w="112"/>
        <w:gridCol w:w="216"/>
        <w:gridCol w:w="849"/>
        <w:gridCol w:w="112"/>
        <w:gridCol w:w="109"/>
        <w:gridCol w:w="109"/>
        <w:gridCol w:w="109"/>
        <w:gridCol w:w="211"/>
        <w:gridCol w:w="826"/>
        <w:gridCol w:w="109"/>
        <w:gridCol w:w="109"/>
        <w:gridCol w:w="109"/>
        <w:gridCol w:w="109"/>
        <w:gridCol w:w="211"/>
        <w:gridCol w:w="826"/>
        <w:gridCol w:w="159"/>
      </w:tblGrid>
      <w:tr>
        <w:trPr/>
        <w:tc>
          <w:tcPr>
            <w:tcW w:w="17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income taxes </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redeemable noncontrolling interest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Class A, Class B and Class C common share:</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137,591</w:t>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712"/>
        <w:gridCol w:w="1481"/>
        <w:gridCol w:w="1508"/>
        <w:gridCol w:w="217"/>
        <w:gridCol w:w="799"/>
        <w:gridCol w:w="112"/>
        <w:gridCol w:w="112"/>
        <w:gridCol w:w="112"/>
        <w:gridCol w:w="112"/>
        <w:gridCol w:w="217"/>
        <w:gridCol w:w="799"/>
        <w:gridCol w:w="112"/>
        <w:gridCol w:w="109"/>
        <w:gridCol w:w="109"/>
        <w:gridCol w:w="109"/>
        <w:gridCol w:w="212"/>
        <w:gridCol w:w="781"/>
        <w:gridCol w:w="109"/>
        <w:gridCol w:w="109"/>
        <w:gridCol w:w="109"/>
        <w:gridCol w:w="109"/>
        <w:gridCol w:w="212"/>
        <w:gridCol w:w="781"/>
        <w:gridCol w:w="163"/>
      </w:tblGrid>
      <w:tr>
        <w:trPr/>
        <w:tc>
          <w:tcPr>
            <w:tcW w:w="171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redeemable noncontrolling interest</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income attributable to noncontrolling interests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attributable to noncontrolling interests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BuzzFeed, Inc.</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(26,601)</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in thousands)</w:t>
      </w:r>
    </w:p>
    <w:tbl>
      <w:tblPr>
        <w:tblW w:w="14468" w:type="dxa"/>
        <w:jc w:val="left"/>
        <w:tblInd w:w="0" w:type="dxa"/>
        <w:tblLayout w:type="fixed"/>
        <w:tblCellMar>
          <w:top w:w="28" w:type="dxa"/>
          <w:left w:w="28" w:type="dxa"/>
          <w:bottom w:w="28" w:type="dxa"/>
          <w:right w:w="28" w:type="dxa"/>
        </w:tblCellMar>
      </w:tblPr>
      <w:tblGrid>
        <w:gridCol w:w="588"/>
        <w:gridCol w:w="201"/>
        <w:gridCol w:w="202"/>
        <w:gridCol w:w="308"/>
        <w:gridCol w:w="308"/>
        <w:gridCol w:w="171"/>
        <w:gridCol w:w="109"/>
        <w:gridCol w:w="109"/>
        <w:gridCol w:w="109"/>
        <w:gridCol w:w="181"/>
        <w:gridCol w:w="406"/>
        <w:gridCol w:w="109"/>
        <w:gridCol w:w="109"/>
        <w:gridCol w:w="109"/>
        <w:gridCol w:w="109"/>
        <w:gridCol w:w="233"/>
        <w:gridCol w:w="233"/>
        <w:gridCol w:w="171"/>
        <w:gridCol w:w="109"/>
        <w:gridCol w:w="109"/>
        <w:gridCol w:w="109"/>
        <w:gridCol w:w="181"/>
        <w:gridCol w:w="406"/>
        <w:gridCol w:w="109"/>
        <w:gridCol w:w="109"/>
        <w:gridCol w:w="109"/>
        <w:gridCol w:w="109"/>
        <w:gridCol w:w="240"/>
        <w:gridCol w:w="241"/>
        <w:gridCol w:w="171"/>
        <w:gridCol w:w="109"/>
        <w:gridCol w:w="109"/>
        <w:gridCol w:w="109"/>
        <w:gridCol w:w="181"/>
        <w:gridCol w:w="406"/>
        <w:gridCol w:w="109"/>
        <w:gridCol w:w="109"/>
        <w:gridCol w:w="109"/>
        <w:gridCol w:w="109"/>
        <w:gridCol w:w="181"/>
        <w:gridCol w:w="616"/>
        <w:gridCol w:w="109"/>
        <w:gridCol w:w="109"/>
        <w:gridCol w:w="109"/>
        <w:gridCol w:w="109"/>
        <w:gridCol w:w="181"/>
        <w:gridCol w:w="631"/>
        <w:gridCol w:w="109"/>
        <w:gridCol w:w="109"/>
        <w:gridCol w:w="109"/>
        <w:gridCol w:w="109"/>
        <w:gridCol w:w="232"/>
        <w:gridCol w:w="618"/>
        <w:gridCol w:w="141"/>
        <w:gridCol w:w="109"/>
        <w:gridCol w:w="109"/>
        <w:gridCol w:w="109"/>
        <w:gridCol w:w="182"/>
        <w:gridCol w:w="622"/>
        <w:gridCol w:w="112"/>
        <w:gridCol w:w="109"/>
        <w:gridCol w:w="109"/>
        <w:gridCol w:w="109"/>
        <w:gridCol w:w="244"/>
        <w:gridCol w:w="629"/>
        <w:gridCol w:w="148"/>
        <w:gridCol w:w="327"/>
        <w:gridCol w:w="182"/>
        <w:gridCol w:w="622"/>
        <w:gridCol w:w="157"/>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7" w:type="dxa"/>
            <w:gridSpan w:val="6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and Nine Months Ended September 30, 2023</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January 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126,387 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191,217 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194,554 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effect of accounting change (see Note 2)</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share-based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C common stock to Class A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2023</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133,258 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(559,190)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155,347 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158,366 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(27,836)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share-based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at-the-market offering, net of issuance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136,615 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130,850 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133,627 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(13,722)</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(13,932)</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share-based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at-the-market offering, net of issuance costs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138,201 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(600,748)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119,471 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121,955 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tbl>
      <w:tblPr>
        <w:tblW w:w="14060" w:type="dxa"/>
        <w:jc w:val="left"/>
        <w:tblInd w:w="0" w:type="dxa"/>
        <w:tblLayout w:type="fixed"/>
        <w:tblCellMar>
          <w:top w:w="28" w:type="dxa"/>
          <w:left w:w="28" w:type="dxa"/>
          <w:bottom w:w="28" w:type="dxa"/>
          <w:right w:w="28" w:type="dxa"/>
        </w:tblCellMar>
      </w:tblPr>
      <w:tblGrid>
        <w:gridCol w:w="648"/>
        <w:gridCol w:w="201"/>
        <w:gridCol w:w="202"/>
        <w:gridCol w:w="194"/>
        <w:gridCol w:w="194"/>
        <w:gridCol w:w="198"/>
        <w:gridCol w:w="109"/>
        <w:gridCol w:w="109"/>
        <w:gridCol w:w="109"/>
        <w:gridCol w:w="181"/>
        <w:gridCol w:w="406"/>
        <w:gridCol w:w="109"/>
        <w:gridCol w:w="109"/>
        <w:gridCol w:w="109"/>
        <w:gridCol w:w="109"/>
        <w:gridCol w:w="170"/>
        <w:gridCol w:w="170"/>
        <w:gridCol w:w="171"/>
        <w:gridCol w:w="109"/>
        <w:gridCol w:w="109"/>
        <w:gridCol w:w="109"/>
        <w:gridCol w:w="181"/>
        <w:gridCol w:w="406"/>
        <w:gridCol w:w="109"/>
        <w:gridCol w:w="109"/>
        <w:gridCol w:w="109"/>
        <w:gridCol w:w="109"/>
        <w:gridCol w:w="170"/>
        <w:gridCol w:w="170"/>
        <w:gridCol w:w="171"/>
        <w:gridCol w:w="109"/>
        <w:gridCol w:w="109"/>
        <w:gridCol w:w="109"/>
        <w:gridCol w:w="181"/>
        <w:gridCol w:w="406"/>
        <w:gridCol w:w="109"/>
        <w:gridCol w:w="109"/>
        <w:gridCol w:w="109"/>
        <w:gridCol w:w="109"/>
        <w:gridCol w:w="181"/>
        <w:gridCol w:w="616"/>
        <w:gridCol w:w="109"/>
        <w:gridCol w:w="109"/>
        <w:gridCol w:w="109"/>
        <w:gridCol w:w="109"/>
        <w:gridCol w:w="181"/>
        <w:gridCol w:w="631"/>
        <w:gridCol w:w="109"/>
        <w:gridCol w:w="109"/>
        <w:gridCol w:w="109"/>
        <w:gridCol w:w="109"/>
        <w:gridCol w:w="232"/>
        <w:gridCol w:w="618"/>
        <w:gridCol w:w="141"/>
        <w:gridCol w:w="109"/>
        <w:gridCol w:w="109"/>
        <w:gridCol w:w="109"/>
        <w:gridCol w:w="182"/>
        <w:gridCol w:w="622"/>
        <w:gridCol w:w="112"/>
        <w:gridCol w:w="109"/>
        <w:gridCol w:w="109"/>
        <w:gridCol w:w="109"/>
        <w:gridCol w:w="244"/>
        <w:gridCol w:w="629"/>
        <w:gridCol w:w="148"/>
        <w:gridCol w:w="327"/>
        <w:gridCol w:w="182"/>
        <w:gridCol w:w="622"/>
        <w:gridCol w:w="157"/>
      </w:tblGrid>
      <w:tr>
        <w:trPr/>
        <w:tc>
          <w:tcPr>
            <w:tcW w:w="6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9" w:type="dxa"/>
            <w:gridSpan w:val="6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and Nine Months Ended September 30, 2022</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w:t>
              <w:br/>
              <w:t>Class 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9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January 1,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(3,233)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370,543 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372,587 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(44,730)</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3,940</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359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(103)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329,845 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(23,581)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11,284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upon exercise of stock options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(1,635)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505</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noncontrolling interest (see Note 12)</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14"/>
              </w:rPr>
            </w:pPr>
            <w:r>
              <w:rPr>
                <w:rFonts w:ascii="Times New Roman;sans-serif" w:hAnsi="Times New Roman;sans-serif"/>
                <w:b w:val="false"/>
                <w:color w:val="000000"/>
                <w:sz w:val="14"/>
              </w:rPr>
              <w:t>2,458</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2022</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316,689 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321,086 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5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(26,856)</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(26,993)</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in connection with share-based plans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withheld for employee taxes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common stock to Class A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713,418 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(417,621)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(2,123)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293,689 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297,715 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743"/>
        <w:gridCol w:w="2406"/>
        <w:gridCol w:w="2425"/>
        <w:gridCol w:w="212"/>
        <w:gridCol w:w="783"/>
        <w:gridCol w:w="117"/>
        <w:gridCol w:w="117"/>
        <w:gridCol w:w="117"/>
        <w:gridCol w:w="117"/>
        <w:gridCol w:w="212"/>
        <w:gridCol w:w="783"/>
        <w:gridCol w:w="173"/>
      </w:tblGrid>
      <w:tr>
        <w:trPr/>
        <w:tc>
          <w:tcPr>
            <w:tcW w:w="2743"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(95,140)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Adjustments to reconcile net loss to net cash used in operating activities:</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24,503 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26,292 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Unrealized loss on foreign currency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4,906 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Stock 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18,859 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Change in fair value of warrants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(2,964)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Change in fair value of derivative liability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(3,525)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Amortization of debt discount and deferred issuance costs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3,863 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1,957 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654 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investment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(1,260)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Gain on disposition of assets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(175)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15,460 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14,962 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expense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50,761 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and prepaid expenses and other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(6,469)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4,133 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(9,048)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 xml:space="preserve">Accrued expenses, other current liabilities and other liabilities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(3,177)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Lease liabilities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(17,728)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3,367 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operating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(7,897)</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(4,528)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internal-use software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(9,746)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used in investing activities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(11,506)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(13,774)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for shares withheld for employee taxes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(1,670)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Revolving Credit Facility</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2,128 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Revolving Credit Facility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(1,796)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common stock in connection with at-the-market offering, net of issuance costs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reverse recapitalization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provided by financing activities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856 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3,105 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currency translation on cash and cash equivalents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(2,031)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and cash equivalents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(20,597)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55,774 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79,733 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59,136 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BUZZFEED,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 tabular amounts and shares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BuzzFeed, Inc. (referred to herein, collectively with its subsidiaries, as “BuzzFeed” or the “Company”) is a premier digital media company for the most diverse, most online, and most socially connected generations the world has ever seen. Across food, news, pop culture and commerce, our brands drive conversation and inspire what audiences watch, read, and buy now — and into the future. The Company’s portfolio of iconic, globally-loved brands includes BuzzFeed, HuffPost, Tasty, Complex Networks, and First We Feast.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concurrently with the closing of the Business Combination (the “Notes”).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digital media company, the Company is subject to certain inherent risks and uncertainties associated with the development of its business. To date, substantially all of the Company’s efforts have been devoted to the growth of its owned and operated properties and portfolio of brands. This includes the Company’s proprietary technology infrastructure, advertising solutions, content creation tools, and more. The Company has invested in the recruitment of key management and technical staff and has acquired certain businesses. These investments have historically been funded by raising outside capital, and as a result of these efforts, the Company has generally incurred significant losses and used net cash outflows from operations since inception — and it may continue to incur such losses and use net cash outflows for the foreseeable future until such time it reaches scale of profitability without needing to rely on funding from outside capital to sustain its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execute its growth strategy, the Company has historically relied on outside capital through the issuance of equity, debt, and borrowings under financing arrangements (collectively “outside capital”). The Company may continue to rely on outside capital for the foreseeable future. While the Company believes it will eventually reach a scale of profitability to sustain its operations, there can be no assurance it will be able to achieve such profitability or generate consistent positive cash flows from operations, or do so in a manner that does not necessitate its continued reliance on outside capital.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condensed consolidated financial statements were issued (the “issuance date”), the presence of the following risks and uncertainties associated with the Company’s financial condition may adversely affect our ability to sustain its operations over the next 12 months beyond the issuance date. </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 xml:space="preserve">Since its inception, the Company has generally incurred significant losses and used net cash flows from operations to grow its owned and operated properties and portfolio of brands. During the nine months ended September 30, 2023, the Company incurred a net loss of $78.0 million and used net cash flows from its operations of $2.4 million. Additionally, as of September 30, 2023, the Company had unrestricted cash and cash equivalents of $42.5 million to fund its operations, $0.7 million available under the Company’s $50.0 million revolving loan and standby letter of credit facility agreement (the “Revolving Credit Facility”) (refer to Note 9 herein for additional details), and an accumulated deficit of $600.7 million. </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 xml:space="preserve">The Company expects to continue to be impacted by the challenging U.S. and global macroeconomic environment, which could adversely impact its ability to grow revenue over the next 12 months beyond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date. For example, the Company has experienced negative impacts on both traffic consumption and client demands. </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The Company continues to be affected by its ongoing efforts to integrate its combined brand portfolio and sales execution against the combined brand portfolio, which may result in the incurrence of unexpected expenses or the inability to realize anticipated benefits and synergies over the next 12 months beyond the issuance date.</w:t>
      </w:r>
    </w:p>
    <w:p>
      <w:pPr>
        <w:pStyle w:val="TextBody"/>
        <w:bidi w:val="0"/>
        <w:spacing w:lineRule="auto" w:line="288" w:before="240" w:after="283"/>
        <w:ind w:left="0" w:right="0" w:hanging="720"/>
        <w:jc w:val="both"/>
        <w:rPr/>
      </w:pPr>
      <w:r>
        <w:rPr>
          <w:color w:val="000000"/>
        </w:rPr>
        <w:t>•</w:t>
      </w:r>
      <w:r>
        <w:rPr>
          <w:rFonts w:ascii="Times New Roman;sans-serif" w:hAnsi="Times New Roman;sans-serif"/>
          <w:b w:val="false"/>
          <w:color w:val="000000"/>
          <w:sz w:val="20"/>
        </w:rPr>
        <w:t>The Company is required to remain in compliance with certain covenants required by the Revolving Credit Facility, which, among others, require it to maintain a minimum of $25.0 million of unrestricted cash at all times and limit, under prescribed circumstances, its ability to incur additional indebtedness, pay dividends, hold unpermitted investments or make material changes to the business. While the Company was in compliance with the financial covenants under the Revolving Credit Facility as of September 30, 2023, and it expects to remain in compliance throughout 12 months beyond the issuance date, the Company may be unable to remain in compliance with one or more of these covenants if it is unable to generate net cash inflows from operations or, if necessary, secure additional outside capital (including through our at-the-market-offering; refer to Note 11 herein for additional details). In the event the Company is unable to remain in compliance with one or more of the aforementioned covenants, and it is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risks and uncertainties described above, the Company continues to carefully evaluate its liquidity position. The Company recognizes the significant challenge of maintaining sufficient liquidity to sustain its operations or remain in compliance with one or more of the covenants required by the Revolving Credit Facility for the next 12 months beyond the issuance date. However, notwithstanding its liquidity position as of the issuance date, and while it is difficult to predict its future liquidity requirements with certainty, the Company currently expects it will be able to generate sufficient liquidity to fund its operations over the next 12 months beyond the issuance date.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risks and uncertainties described above, the Company may plan to secure additional outside capital over the next 12 months beyond the issuance date. While the Company has historically been successful in its ability to secure outside capital, as of the issuance date, the Company had no firm commitments of additional outside capital other than the Company’s at-the-market-offering, which is subject to the conditions contained in the At-The-Market Offering agreement dated June 20, 2023 with Craig-Hallum Capital Group LLC (refer to Note 11 herein for additional details). The Company can provide no assurance it will be able to continue to secure outside capital in the future or do so on terms that are acceptable to it, which could be due to future market conditions which are outside of its control. Furthermore, the Company also plans to continue to closely monitor its cash flow forecast and, if necessary, it will implement certain incremental cost savings to preserve its liquidity beyond those that were implemented through the restructuring activities that occurred during fiscal year 2022 and 2023 (refer to Note 14 herein for additional details) or through the reduction of its real estate footprint. While the Company currently expects it will be able to generate sufficient liquidity to fund its operations for the next 12 months beyond the issuance date, it can provide no assurance it will successfully generate such liquidity, or if necessary, secure additional outside capital (including through our at-the-market-offering; refer to Note 11 herein for additional details) or implement incremental cost savings.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COVID-19</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declared the viral strain of COVID-19 a global pandemic and recommended containment and mitigation measures worldwide. The spread of COVID-19 and the resulting economic contraction resulted in increased business uncertainty and significantly impacted the Company’s business and results of operations. While the extent of the impact has generally decreased, the Company continues to monitor the status, and respond to the effects of, the COVID-19 pandemic and its impact on the Company’s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Financial Statements and Principles of Consolidation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of America (“GAAP”) and applicable rules and regulations of 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2022, as disclosed in the Company’s Annual Report on Form 10-K for the year ended December 31, 2022.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2023.</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In June 2016, the Financial Accounting Standards Board issued Accounting Standards Update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Effective January 1, 2023, the Company adopted this standard using a modified retrospective transition approach, which required a cumulative effect adjustment to the balance sheet as of January 1, 2023. The adoption of this standard did not have a material impact to our condensed consolidated financial statements.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Acquisitions and Dispositions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Complex Networks Acquisition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On December 3, 2021, in conjunction with the Business Combination, the Company completed the acquisition of 100% of the members’ interests of Complex Networks, a publisher of online media content targeting Millennial and Gen Z consumers (the “</w:t>
      </w:r>
      <w:r>
        <w:rPr>
          <w:rFonts w:ascii="Times New Roman;sans-serif" w:hAnsi="Times New Roman;sans-serif"/>
          <w:b w:val="false"/>
          <w:color w:val="000000"/>
          <w:sz w:val="20"/>
          <w:shd w:fill="FFFFFF" w:val="clear"/>
        </w:rPr>
        <w:t>Complex Networks Acquisition</w:t>
      </w:r>
      <w:r>
        <w:rPr>
          <w:color w:val="000000"/>
        </w:rPr>
        <w:t>”</w:t>
      </w:r>
      <w:r>
        <w:rPr>
          <w:rFonts w:ascii="Times New Roman;sans-serif" w:hAnsi="Times New Roman;sans-serif"/>
          <w:b w:val="false"/>
          <w:color w:val="000000"/>
          <w:sz w:val="20"/>
        </w:rPr>
        <w:t xml:space="preserv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consideration exchanged as a result of the Complex Networks Acquisition:</w:t>
      </w:r>
    </w:p>
    <w:tbl>
      <w:tblPr>
        <w:tblW w:w="2926" w:type="dxa"/>
        <w:jc w:val="left"/>
        <w:tblInd w:w="0" w:type="dxa"/>
        <w:tblLayout w:type="fixed"/>
        <w:tblCellMar>
          <w:top w:w="28" w:type="dxa"/>
          <w:left w:w="28" w:type="dxa"/>
          <w:bottom w:w="28" w:type="dxa"/>
          <w:right w:w="28" w:type="dxa"/>
        </w:tblCellMar>
      </w:tblPr>
      <w:tblGrid>
        <w:gridCol w:w="684"/>
        <w:gridCol w:w="601"/>
        <w:gridCol w:w="604"/>
        <w:gridCol w:w="211"/>
        <w:gridCol w:w="342"/>
        <w:gridCol w:w="48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Cash consideration</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197,966</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Share consideration</w:t>
            </w:r>
            <w:r>
              <w:rPr>
                <w:rFonts w:ascii="Times New Roman;sans-serif" w:hAnsi="Times New Roman;sans-serif"/>
                <w:b w:val="false"/>
                <w:color w:val="000000"/>
                <w:sz w:val="13"/>
              </w:rPr>
              <w:t>(2)</w:t>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96,200</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294,166</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the cash purchase price of $200.0 million adjusted for certain closing specified liabilities as specified in the Complex Networks Acquisition purchase agreement.</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10,000,000 shares of our Class A common stock at a price of $9.62 per share, which is based on the closing stock price of our Class A common stock on the date on which the Business Combination was consummated.</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The following table summarizes the determination of </w:t>
      </w:r>
      <w:r>
        <w:rPr>
          <w:rFonts w:ascii="Times New Roman;sans-serif" w:hAnsi="Times New Roman;sans-serif"/>
          <w:b w:val="false"/>
          <w:color w:val="000000"/>
          <w:sz w:val="20"/>
        </w:rPr>
        <w:t xml:space="preserve">the fair value of identifiable assets acquired and liabilities assumed in connection with the Complex Networks Acquisition. During the year ended December 31, 2022, the Company finalized the fair value of assets acquired and liabilities assumed. Measurement period adjustments were reflected during the year ended December 31, 2022, which is the period in which the adjustments occurred. The adjustments resulted from new information obtained about facts and circumstances that existed as of the acquisition date. </w:t>
      </w:r>
    </w:p>
    <w:tbl>
      <w:tblPr>
        <w:tblW w:w="7686" w:type="dxa"/>
        <w:jc w:val="left"/>
        <w:tblInd w:w="0" w:type="dxa"/>
        <w:tblLayout w:type="fixed"/>
        <w:tblCellMar>
          <w:top w:w="28" w:type="dxa"/>
          <w:left w:w="28" w:type="dxa"/>
          <w:bottom w:w="28" w:type="dxa"/>
          <w:right w:w="28" w:type="dxa"/>
        </w:tblCellMar>
      </w:tblPr>
      <w:tblGrid>
        <w:gridCol w:w="1294"/>
        <w:gridCol w:w="1138"/>
        <w:gridCol w:w="1152"/>
        <w:gridCol w:w="211"/>
        <w:gridCol w:w="841"/>
        <w:gridCol w:w="109"/>
        <w:gridCol w:w="109"/>
        <w:gridCol w:w="109"/>
        <w:gridCol w:w="109"/>
        <w:gridCol w:w="314"/>
        <w:gridCol w:w="604"/>
        <w:gridCol w:w="163"/>
        <w:gridCol w:w="109"/>
        <w:gridCol w:w="109"/>
        <w:gridCol w:w="109"/>
        <w:gridCol w:w="211"/>
        <w:gridCol w:w="84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w:t>
              <w:br/>
              <w:t>Period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Final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for Complex Networks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294,166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294,166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indicates the estimated fair value of each of the identifiable intangible assets:</w:t>
      </w:r>
    </w:p>
    <w:tbl>
      <w:tblPr>
        <w:tblW w:w="5396" w:type="dxa"/>
        <w:jc w:val="left"/>
        <w:tblInd w:w="0" w:type="dxa"/>
        <w:tblLayout w:type="fixed"/>
        <w:tblCellMar>
          <w:top w:w="28" w:type="dxa"/>
          <w:left w:w="28" w:type="dxa"/>
          <w:bottom w:w="28" w:type="dxa"/>
          <w:right w:w="28" w:type="dxa"/>
        </w:tblCellMar>
      </w:tblPr>
      <w:tblGrid>
        <w:gridCol w:w="804"/>
        <w:gridCol w:w="707"/>
        <w:gridCol w:w="709"/>
        <w:gridCol w:w="434"/>
        <w:gridCol w:w="434"/>
        <w:gridCol w:w="436"/>
        <w:gridCol w:w="109"/>
        <w:gridCol w:w="109"/>
        <w:gridCol w:w="109"/>
        <w:gridCol w:w="452"/>
        <w:gridCol w:w="452"/>
        <w:gridCol w:w="641"/>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Asset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Useful Life (Years)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 &amp; tradenames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97,000 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5,100 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$188.5 million of goodwill, which is primarily attributed to workforce and synergies, and is not deductible for tax purposes.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Impairment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annually as of October 1 and more frequently if events or changes in circumstances indicate an impairment may exist (a “triggering event”). As of September 30, 2023, the Company had $91.6 million of goodwill recorded on its condensed consolidated balance sheet. During the year ended December 31, 2022, the Company recorded a $102.3 million non-cash goodwill impairment charge driven by a sustained decline in share price that pushed our market capitalization below the carrying value of our stockholders’ equity.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identified a further sustained decline in share price whereby the Company’s market capitalization was below the carrying value of its stockholders’ equity. The Company concluded the sustained decline in share price was a triggering event and proceeded with a quantitative goodwill impairment assessment. The quantitative impairment assessment was performed as of September 30, 2023, utilizing an equal weighting of the income and market approaches. The analysis required the comparison of the Company’s carrying value with its fair value, with an impairment recorded for any excess of carrying value over the fair value. The discounted cash flow method was used to determine the fair value of the Company’s single reporting unit under the income approach. The adjusted market capitalization method was used to determine the fair value of the reporting unit under the market approach. The adjusted market capitalization method is calculated by multiplying the average share price of the Company’s common stock for the average between (i) the singular day of September 30, (ii) seven days prior to the measurement date, and (iii) 30 days prior to the measurement date, by the number of outstanding shares of common stock and adding a control premium that reflects the premium a hypothetical buyer might pay. The control premium was estimated using historical transactions over three years. The results of the quantitative analysis performed indicated the fair value of the reporting unit exceeded the carrying value by more than 10%. As a result, the Company concluded there was no goodwill impairment as of September 30, 2023. The Company believes our procedures for determining fair value are reasonable and consistent with current market conditions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Disaggregated 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revenue disaggregated based on the nature of its arrangements. Management uses these categories of revenue to evaluate the performance of its businesses and to assess its financial results and forecasts.</w:t>
      </w:r>
    </w:p>
    <w:tbl>
      <w:tblPr>
        <w:tblW w:w="7473" w:type="dxa"/>
        <w:jc w:val="left"/>
        <w:tblInd w:w="0" w:type="dxa"/>
        <w:tblLayout w:type="fixed"/>
        <w:tblCellMar>
          <w:top w:w="28" w:type="dxa"/>
          <w:left w:w="28" w:type="dxa"/>
          <w:bottom w:w="28" w:type="dxa"/>
          <w:right w:w="28" w:type="dxa"/>
        </w:tblCellMar>
      </w:tblPr>
      <w:tblGrid>
        <w:gridCol w:w="651"/>
        <w:gridCol w:w="573"/>
        <w:gridCol w:w="576"/>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Commerce and 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 disaggregated by geography:</w:t>
      </w:r>
    </w:p>
    <w:tbl>
      <w:tblPr>
        <w:tblW w:w="6872" w:type="dxa"/>
        <w:jc w:val="left"/>
        <w:tblInd w:w="0" w:type="dxa"/>
        <w:tblLayout w:type="fixed"/>
        <w:tblCellMar>
          <w:top w:w="28" w:type="dxa"/>
          <w:left w:w="28" w:type="dxa"/>
          <w:bottom w:w="28" w:type="dxa"/>
          <w:right w:w="28" w:type="dxa"/>
        </w:tblCellMar>
      </w:tblPr>
      <w:tblGrid>
        <w:gridCol w:w="433"/>
        <w:gridCol w:w="382"/>
        <w:gridCol w:w="384"/>
        <w:gridCol w:w="225"/>
        <w:gridCol w:w="770"/>
        <w:gridCol w:w="116"/>
        <w:gridCol w:w="116"/>
        <w:gridCol w:w="116"/>
        <w:gridCol w:w="116"/>
        <w:gridCol w:w="225"/>
        <w:gridCol w:w="882"/>
        <w:gridCol w:w="116"/>
        <w:gridCol w:w="109"/>
        <w:gridCol w:w="109"/>
        <w:gridCol w:w="109"/>
        <w:gridCol w:w="211"/>
        <w:gridCol w:w="826"/>
        <w:gridCol w:w="109"/>
        <w:gridCol w:w="109"/>
        <w:gridCol w:w="109"/>
        <w:gridCol w:w="109"/>
        <w:gridCol w:w="211"/>
        <w:gridCol w:w="82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can result in billed accounts receivable, unbilled receivables (contract assets), and deferred revenues (contract liabilities). The payment terms and conditions within the Company’s contracts vary by type, but the substantial majority require that customers pay for their services on a monthly or quarterly basis, as the services are being provided. When the timing of revenue recognition differs from the timing of payments made by customers, the Company recognizes either unbilled revenue (performance precedes the billing date) or deferred revenue (customer payment is received in advance of performance). The Company has determined its contracts generally do not include a significant financing component.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are presented in Prepaid and other current assets on the accompanying condensed consolidated balance sheets and totaled $10.0 million and $12.1 million as of September 30, 2023 and December 31, 2022, respectively. These amounts relate to revenue recognized during the respective period that is expected to be invoiced and collected in future periods.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liabilities, which are recorded in Deferred revenue on the accompanying condensed consolidated balance sheets, are expected to be recognized as revenues during the succeeding 12-month period. Deferred revenue totaled $8.3 million and $8.8 million as of September 30, 2023 and December 31, 2022,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revenue recognized during the nine months ended September 30, 2023 that was included in the deferred revenue balance as of December 31, 2022 was $6.3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Transaction Price Allocated to Remaining Performance Obligations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has certain licensing contracts with minimum guarantees and terms extending beyond one year. Revenue to be recognized related to the remaining performance obligations was $2.4 million as of September 30, 2023 and is generally expected to be recognized over the next one to </w:t>
      </w:r>
      <w:r>
        <w:rPr>
          <w:rFonts w:ascii="Times New Roman;sans-serif" w:hAnsi="Times New Roman;sans-serif"/>
          <w:b w:val="false"/>
          <w:color w:val="000000"/>
          <w:sz w:val="20"/>
          <w:shd w:fill="FFFFFF" w:val="clear"/>
        </w:rPr>
        <w:t>four years</w:t>
      </w:r>
      <w:r>
        <w:rPr>
          <w:rFonts w:ascii="Times New Roman;sans-serif" w:hAnsi="Times New Roman;sans-serif"/>
          <w:b w:val="false"/>
          <w:color w:val="000000"/>
          <w:sz w:val="20"/>
        </w:rPr>
        <w:t>. This amount does not include: (i) contracts with an original expected duration of one year or less, such as advertising contracts; (ii) variable consideration in the form of sales-based royalties; or (iii) variable consideration allocated entirely to wholly unperformed performance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each contract, 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measured at fair value on a recurring basis are summarized below:</w:t>
      </w:r>
    </w:p>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tbl>
      <w:tblPr>
        <w:tblW w:w="6854" w:type="dxa"/>
        <w:jc w:val="left"/>
        <w:tblInd w:w="0" w:type="dxa"/>
        <w:tblLayout w:type="fixed"/>
        <w:tblCellMar>
          <w:top w:w="28" w:type="dxa"/>
          <w:left w:w="28" w:type="dxa"/>
          <w:bottom w:w="28" w:type="dxa"/>
          <w:right w:w="28" w:type="dxa"/>
        </w:tblCellMar>
      </w:tblPr>
      <w:tblGrid>
        <w:gridCol w:w="883"/>
        <w:gridCol w:w="777"/>
        <w:gridCol w:w="784"/>
        <w:gridCol w:w="211"/>
        <w:gridCol w:w="61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money market funds are measured at amortized cost, which approximates fair value.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warrant liability as of September 30, 2023 and December 31, 2022 includes public and private warrants that were originally issued by 890, but which were assumed by the Company as part of the closing of the Business Combination (the “Public Warrants” and “Private Warrants,” respectively), which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$0.05 and $0.04 as of September 30, 2023 and December 31, 2022, respectively.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quantitative information regarding the significant unobservable inputs used by the Company related to the derivative liability:</w:t>
      </w:r>
    </w:p>
    <w:tbl>
      <w:tblPr>
        <w:tblW w:w="4752" w:type="dxa"/>
        <w:jc w:val="left"/>
        <w:tblInd w:w="0" w:type="dxa"/>
        <w:tblLayout w:type="fixed"/>
        <w:tblCellMar>
          <w:top w:w="28" w:type="dxa"/>
          <w:left w:w="28" w:type="dxa"/>
          <w:bottom w:w="28" w:type="dxa"/>
          <w:right w:w="28" w:type="dxa"/>
        </w:tblCellMar>
      </w:tblPr>
      <w:tblGrid>
        <w:gridCol w:w="484"/>
        <w:gridCol w:w="424"/>
        <w:gridCol w:w="427"/>
        <w:gridCol w:w="344"/>
        <w:gridCol w:w="344"/>
        <w:gridCol w:w="857"/>
        <w:gridCol w:w="109"/>
        <w:gridCol w:w="109"/>
        <w:gridCol w:w="109"/>
        <w:gridCol w:w="314"/>
        <w:gridCol w:w="314"/>
        <w:gridCol w:w="917"/>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activity of the Level 3 instruments:</w:t>
      </w:r>
    </w:p>
    <w:tbl>
      <w:tblPr>
        <w:tblW w:w="5129" w:type="dxa"/>
        <w:jc w:val="left"/>
        <w:tblInd w:w="0" w:type="dxa"/>
        <w:tblLayout w:type="fixed"/>
        <w:tblCellMar>
          <w:top w:w="28" w:type="dxa"/>
          <w:left w:w="28" w:type="dxa"/>
          <w:bottom w:w="28" w:type="dxa"/>
          <w:right w:w="28" w:type="dxa"/>
        </w:tblCellMar>
      </w:tblPr>
      <w:tblGrid>
        <w:gridCol w:w="1287"/>
        <w:gridCol w:w="1130"/>
        <w:gridCol w:w="1137"/>
        <w:gridCol w:w="399"/>
        <w:gridCol w:w="882"/>
        <w:gridCol w:w="294"/>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fair value measurement levels during the three and nine months ended September 30,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Equity Investment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the Company had an investment in equity securities of a privately-held company without a readily determinable fair value. During the second quarter of 2023, the aforementioned private company underwent a recapitalization, and the Company received approximately 6,000 shares of common stock in a non-monetary transaction, valued at $nil. Prior to the recapitalization, the carrying value of the investment was $3.6 million, so the difference between the carrying value and fair value was recorded as loss on investment within Other expense, net within our condensed consolidated statement of operations. During the third quarter of 2023, the Company exchanged a receivable for a $0.8 million investment in the new capital structure of the aforementioned private company (the Company received approximately 500,000 shares of preferred stock). The total carrying value of the investment, included in Prepaid and other assets on the condensed consolidated balance sheets, was $0.8 million and $3.6 million as of September 30, 2023 and December 31,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146" w:type="dxa"/>
        <w:jc w:val="left"/>
        <w:tblInd w:w="0" w:type="dxa"/>
        <w:tblLayout w:type="fixed"/>
        <w:tblCellMar>
          <w:top w:w="28" w:type="dxa"/>
          <w:left w:w="28" w:type="dxa"/>
          <w:bottom w:w="28" w:type="dxa"/>
          <w:right w:w="28" w:type="dxa"/>
        </w:tblCellMar>
      </w:tblPr>
      <w:tblGrid>
        <w:gridCol w:w="989"/>
        <w:gridCol w:w="869"/>
        <w:gridCol w:w="872"/>
        <w:gridCol w:w="313"/>
        <w:gridCol w:w="1070"/>
        <w:gridCol w:w="161"/>
        <w:gridCol w:w="109"/>
        <w:gridCol w:w="109"/>
        <w:gridCol w:w="109"/>
        <w:gridCol w:w="300"/>
        <w:gridCol w:w="1026"/>
        <w:gridCol w:w="219"/>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totaled $1.6 million and $2.9 million for the three months ended September 30, 2023 and 2022, respectively, and $5.0 million and $7.9 million for the nine months ended September 30, 2023 and 2022, respectively, included in Depreciation and amortization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21 herein for information regarding an impairment charge the Company recorded during the three months ended September 30, 2022 with respect to leasehold improvements associated with the lease of the Company’s former corporate headquarters that was fully subleased during the third quarter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Capitalized Software Costs,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net consisted of the following:</w:t>
      </w:r>
    </w:p>
    <w:tbl>
      <w:tblPr>
        <w:tblW w:w="6266" w:type="dxa"/>
        <w:jc w:val="left"/>
        <w:tblInd w:w="0" w:type="dxa"/>
        <w:tblLayout w:type="fixed"/>
        <w:tblCellMar>
          <w:top w:w="28" w:type="dxa"/>
          <w:left w:w="28" w:type="dxa"/>
          <w:bottom w:w="28" w:type="dxa"/>
          <w:right w:w="28" w:type="dxa"/>
        </w:tblCellMar>
      </w:tblPr>
      <w:tblGrid>
        <w:gridCol w:w="1031"/>
        <w:gridCol w:w="907"/>
        <w:gridCol w:w="912"/>
        <w:gridCol w:w="313"/>
        <w:gridCol w:w="1070"/>
        <w:gridCol w:w="161"/>
        <w:gridCol w:w="109"/>
        <w:gridCol w:w="109"/>
        <w:gridCol w:w="109"/>
        <w:gridCol w:w="300"/>
        <w:gridCol w:w="1026"/>
        <w:gridCol w:w="219"/>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Website and internal-use software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capitalized $3.2 million and $3.1 million for the three months ended September 30, 2023 and 2022, respectively, and $10.9 million and $9.7 million for the nine months ended September 30, 2023 and 2022, respectively, included in Capitalized software costs. The Company amortized $2.7 million and $2.5 million for the three months ended September 30, 2023 and 2022, respectively, and $8.1 million and $7.0 million for the nine months ended September 30, 2023 and 2022,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Intangible Assets,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intangible assets for the periods presented and the weighted average remaining useful lives:</w:t>
      </w:r>
    </w:p>
    <w:tbl>
      <w:tblPr>
        <w:tblW w:w="11468" w:type="dxa"/>
        <w:jc w:val="left"/>
        <w:tblInd w:w="0" w:type="dxa"/>
        <w:tblLayout w:type="fixed"/>
        <w:tblCellMar>
          <w:top w:w="28" w:type="dxa"/>
          <w:left w:w="28" w:type="dxa"/>
          <w:bottom w:w="28" w:type="dxa"/>
          <w:right w:w="28" w:type="dxa"/>
        </w:tblCellMar>
      </w:tblPr>
      <w:tblGrid>
        <w:gridCol w:w="423"/>
        <w:gridCol w:w="306"/>
        <w:gridCol w:w="307"/>
        <w:gridCol w:w="295"/>
        <w:gridCol w:w="295"/>
        <w:gridCol w:w="296"/>
        <w:gridCol w:w="109"/>
        <w:gridCol w:w="109"/>
        <w:gridCol w:w="109"/>
        <w:gridCol w:w="196"/>
        <w:gridCol w:w="736"/>
        <w:gridCol w:w="109"/>
        <w:gridCol w:w="109"/>
        <w:gridCol w:w="109"/>
        <w:gridCol w:w="109"/>
        <w:gridCol w:w="222"/>
        <w:gridCol w:w="734"/>
        <w:gridCol w:w="125"/>
        <w:gridCol w:w="109"/>
        <w:gridCol w:w="109"/>
        <w:gridCol w:w="109"/>
        <w:gridCol w:w="196"/>
        <w:gridCol w:w="736"/>
        <w:gridCol w:w="109"/>
        <w:gridCol w:w="109"/>
        <w:gridCol w:w="109"/>
        <w:gridCol w:w="109"/>
        <w:gridCol w:w="295"/>
        <w:gridCol w:w="295"/>
        <w:gridCol w:w="296"/>
        <w:gridCol w:w="109"/>
        <w:gridCol w:w="109"/>
        <w:gridCol w:w="109"/>
        <w:gridCol w:w="196"/>
        <w:gridCol w:w="736"/>
        <w:gridCol w:w="109"/>
        <w:gridCol w:w="109"/>
        <w:gridCol w:w="109"/>
        <w:gridCol w:w="109"/>
        <w:gridCol w:w="222"/>
        <w:gridCol w:w="734"/>
        <w:gridCol w:w="125"/>
        <w:gridCol w:w="109"/>
        <w:gridCol w:w="109"/>
        <w:gridCol w:w="109"/>
        <w:gridCol w:w="196"/>
        <w:gridCol w:w="73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Technology</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 and Trade Names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 and Trade Names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intangible assets, the Company amortized $3.8 million for the three months ended September 30, 2023 and 2022, and $11.4 million and for the nine months ended September 30, 2023 and 2022, included in Depreciation and amortization expense.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Estimated future amortization expense as of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is as follows (in thousands):</w:t>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Debt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Revolving Credit Facility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2020, the Company entered into a three-year, $50.0 million, revolving loan and standby letter of credit facility agreement (i.e.,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The Company incurred $0.2 million of debt issuance fees associated with the December 15, 2022 amendment. On May 10, 2023, the parties to the Revolving Credit Facility entered into a joinder agreement adding one of the Company’s Canadian subsidiaries as a borrower under the Revolving Credit Facility, granting the lenders under the Revolving Credit Facility a lien on that subsidiary’s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and including that subsidiary's receivables in the calculation of the borrowing base under the Revolving Credit Facility. The Revolving Credit agreement was further amended o</w:t>
      </w:r>
      <w:r>
        <w:rPr>
          <w:rFonts w:ascii="Times New Roman;sans-serif" w:hAnsi="Times New Roman;sans-serif"/>
          <w:b w:val="false"/>
          <w:color w:val="000000"/>
          <w:sz w:val="20"/>
          <w:shd w:fill="FFFFFF" w:val="clear"/>
        </w:rPr>
        <w:t xml:space="preserve">n each of June 29, 2023 and September 26, 2023 </w:t>
      </w:r>
      <w:r>
        <w:rPr>
          <w:rFonts w:ascii="Times New Roman;sans-serif" w:hAnsi="Times New Roman;sans-serif"/>
          <w:b w:val="false"/>
          <w:color w:val="000000"/>
          <w:sz w:val="20"/>
        </w:rPr>
        <w:t>in a second and third amendment, respectively.</w:t>
      </w:r>
      <w:r>
        <w:rPr>
          <w:color w:val="000000"/>
          <w:shd w:fill="FFFFFF" w:val="clear"/>
        </w:rPr>
        <w:t xml:space="preserve"> </w:t>
      </w:r>
      <w:r>
        <w:rPr>
          <w:rFonts w:ascii="Times New Roman;sans-serif" w:hAnsi="Times New Roman;sans-serif"/>
          <w:b w:val="false"/>
          <w:color w:val="000000"/>
          <w:sz w:val="20"/>
          <w:shd w:fill="FFFFFF" w:val="clear"/>
        </w:rPr>
        <w:t>As a result of these second and third amendments, the Revolving Credit Facility was amended to provide for, among other things: (i) permitted overadvances during the periods from June 29, 2023 through August 31, 2023 and September 26, 2023 through December 31, 2023; (ii) permitted overadvances of up to $7.4 million; (iii) an increase in the applicable margin only during the overadvance periods (ranging from 4.5% to 5% depending on the utilization of the facility</w:t>
      </w:r>
      <w:r>
        <w:rPr>
          <w:rFonts w:ascii="Times New Roman;sans-serif" w:hAnsi="Times New Roman;sans-serif"/>
          <w:b w:val="false"/>
          <w:color w:val="000000"/>
          <w:sz w:val="20"/>
        </w:rPr>
        <w:t>, with the range reverting to 3.75% to 4.25% starting January 1, 2024)</w:t>
      </w:r>
      <w:r>
        <w:rPr>
          <w:rFonts w:ascii="Times New Roman;sans-serif" w:hAnsi="Times New Roman;sans-serif"/>
          <w:b w:val="false"/>
          <w:color w:val="000000"/>
          <w:sz w:val="20"/>
          <w:shd w:fill="FFFFFF" w:val="clear"/>
        </w:rPr>
        <w:t xml:space="preserve">; and (iv) a change in the definition of the term “SOFR Index.” The Company incurred $0.2 million of debt issuance fees associated with the June 29, 2023 amendment and $0.1 million of debt issuance fees associated with the September 26, 2023 amendment.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includes covenants that, among other things, require the Company to maintain at least $25.0 million of unrestricted cash at all times and limit, under prescribed circumstances, the ability of the Company to incur additional indebtedness, pay dividends, hold unpermitted investments, or make material changes to the business. The Company was in compliance with the financial covenants under such facility as of September 30, 2023.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Borrowings under the Revolving Credit Facility bear interest at the greater of a floor rate of 0.75% or the sum of the rate per annum for the forward-looking term rate for SOFR for a term of one (1) month, plus a margin, </w:t>
      </w:r>
      <w:r>
        <w:rPr>
          <w:rFonts w:ascii="Times New Roman;sans-serif" w:hAnsi="Times New Roman;sans-serif"/>
          <w:b w:val="false"/>
          <w:color w:val="000000"/>
          <w:sz w:val="20"/>
          <w:shd w:fill="FFFFFF" w:val="clear"/>
        </w:rPr>
        <w:t xml:space="preserve">which, during the overadvance period ending December 31, 2023, ranges from 4.5% to 5% depending on the utilization of the facility, with the range reverting to 3.75% to 4.25% on January 1, 2024, depending on the level of the Company’s utilization of the facility (the implied interest rate was approximately </w:t>
      </w:r>
      <w:r>
        <w:rPr>
          <w:rFonts w:ascii="Times New Roman;sans-serif" w:hAnsi="Times New Roman;sans-serif"/>
          <w:b w:val="false"/>
          <w:color w:val="000000"/>
          <w:sz w:val="20"/>
        </w:rPr>
        <w:t>9%</w:t>
      </w:r>
      <w:r>
        <w:rPr>
          <w:color w:val="000000"/>
          <w:shd w:fill="FFFFFF" w:val="clear"/>
        </w:rPr>
        <w:t xml:space="preserve"> </w:t>
      </w:r>
      <w:r>
        <w:rPr>
          <w:rFonts w:ascii="Times New Roman;sans-serif" w:hAnsi="Times New Roman;sans-serif"/>
          <w:b w:val="false"/>
          <w:color w:val="000000"/>
          <w:sz w:val="20"/>
          <w:shd w:fill="FFFFFF" w:val="clear"/>
        </w:rPr>
        <w:t>at September 30, 2023), and subject to a monthly minimum utilization of $15.0 million. The facility also includes an unused commitment fee of 0.375%.</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outstanding borrowings of $33.8 million and $33.5 million at September 30, 2023 and December 31, 2022, respectively. The Company had outstanding letters of credit of $15.5 million under the Revolving Credit Facility at September 30, 2023 and December 31, 2022, and the total unused borrowing capacity was $0.7 million and $1.0 million as of September 30, 2023 and December 31, 2022,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is secured by a first priority security interest on the Company’s and the other borrowers’ and guarantors’ cash, accounts receivable, books and records, and related assets.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$0.6 million and $0.4 million, of costs in connection with the issuance of debt included in Prepaid and other assets in the condensed consolidated balance sheet,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Notes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in connection with the entry into the merger agreement pursuant to which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The Notes bear interest at a rate of 8.50% per annum, payable semi-annually, are convertible into approximately 12,000,000 shares of our Class A common stock (or, at the Company’s election, a combination of cash and our Class A common stock), at an initial conversion price of $12.50, and mature on December 3, 2026.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(i.e., between December 3, 2022 and December 3, 2024), the Company will be obligated to pay an amount in cash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a Note will have the right to cause the Company to repurchase for cash all or a portion of the Notes held by such holder (i) at any time after the third anniversary of the date on which the Business Combination was consummated (i.e., at any time on or after December 3, 2024), at a price equal to par plus accrued and unpaid interest; or (ii) at any time upon the occurrence of a fundamental change (as defined in the indenture governing the Notes), at a price equal to 101% of par plus accrued and unpaid interest.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on the Notes is recognized at an effective interest rate of 15% and totaled $4.8 million and $4.5 million for the three months ended September 30, 2023 and 2022, respectively, and $14.1 million and $13.4 million for the nine months ended September 30, 2023 and 2022, respectively, of which amortization of the debt discount and issuance costs comprised $1.6 million and $1.4 million for the three months ended September 30, 2023 and 2022, respectively, and $4.5 million and $3.9 million for the nine months ended September 30, 2023 and 2022,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Notes as of September 30, 2023 and December 31, 2022 was:</w:t>
      </w:r>
    </w:p>
    <w:tbl>
      <w:tblPr>
        <w:tblW w:w="7270" w:type="dxa"/>
        <w:jc w:val="left"/>
        <w:tblInd w:w="0" w:type="dxa"/>
        <w:tblLayout w:type="fixed"/>
        <w:tblCellMar>
          <w:top w:w="28" w:type="dxa"/>
          <w:left w:w="28" w:type="dxa"/>
          <w:bottom w:w="28" w:type="dxa"/>
          <w:right w:w="28" w:type="dxa"/>
        </w:tblCellMar>
      </w:tblPr>
      <w:tblGrid>
        <w:gridCol w:w="1396"/>
        <w:gridCol w:w="1227"/>
        <w:gridCol w:w="1231"/>
        <w:gridCol w:w="284"/>
        <w:gridCol w:w="1114"/>
        <w:gridCol w:w="147"/>
        <w:gridCol w:w="109"/>
        <w:gridCol w:w="109"/>
        <w:gridCol w:w="109"/>
        <w:gridCol w:w="273"/>
        <w:gridCol w:w="1072"/>
        <w:gridCol w:w="199"/>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issuance costs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123,223 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118,748 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Notes was approximately $110.0 million and $99.8 million as of September 30, 2023 and December 31, 2022, respectively. The fair value of the Notes was estimated using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Redeemable Noncontrolling Interest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noncontrolling interest represented BuzzFeed Japan, which was held by Yahoo Japan. On May 17, 2022, Yahoo Japan transferred its interests in BuzzFeed Japan to other third parties. The agreements with the third parties do not contain any put rights. As such, on May 17, 2022, the Company reclassified the former redeemable noncontrolling interest to nonredeemable noncontrolling interest that is presented within Stockholders’ equity permanent equity on the Company’s condensed consolidated balance sheet, with no adjustment to the prior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reconciliation of changes in redeemable noncontrolling interest:</w:t>
      </w:r>
    </w:p>
    <w:tbl>
      <w:tblPr>
        <w:tblW w:w="5138" w:type="dxa"/>
        <w:jc w:val="left"/>
        <w:tblInd w:w="0" w:type="dxa"/>
        <w:tblLayout w:type="fixed"/>
        <w:tblCellMar>
          <w:top w:w="28" w:type="dxa"/>
          <w:left w:w="28" w:type="dxa"/>
          <w:bottom w:w="28" w:type="dxa"/>
          <w:right w:w="28" w:type="dxa"/>
        </w:tblCellMar>
      </w:tblPr>
      <w:tblGrid>
        <w:gridCol w:w="1125"/>
        <w:gridCol w:w="986"/>
        <w:gridCol w:w="993"/>
        <w:gridCol w:w="211"/>
        <w:gridCol w:w="406"/>
        <w:gridCol w:w="109"/>
        <w:gridCol w:w="109"/>
        <w:gridCol w:w="109"/>
        <w:gridCol w:w="109"/>
        <w:gridCol w:w="211"/>
        <w:gridCol w:w="61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 (loss)</w:t>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permanent equity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net income (loss)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September 30, 2023 or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stock option activity under the Company’s equity incentive plans is presented below:</w:t>
      </w:r>
    </w:p>
    <w:tbl>
      <w:tblPr>
        <w:tblW w:w="7872" w:type="dxa"/>
        <w:jc w:val="left"/>
        <w:tblInd w:w="0" w:type="dxa"/>
        <w:tblLayout w:type="fixed"/>
        <w:tblCellMar>
          <w:top w:w="28" w:type="dxa"/>
          <w:left w:w="28" w:type="dxa"/>
          <w:bottom w:w="28" w:type="dxa"/>
          <w:right w:w="28" w:type="dxa"/>
        </w:tblCellMar>
      </w:tblPr>
      <w:tblGrid>
        <w:gridCol w:w="1206"/>
        <w:gridCol w:w="1058"/>
        <w:gridCol w:w="1066"/>
        <w:gridCol w:w="294"/>
        <w:gridCol w:w="294"/>
        <w:gridCol w:w="296"/>
        <w:gridCol w:w="109"/>
        <w:gridCol w:w="109"/>
        <w:gridCol w:w="109"/>
        <w:gridCol w:w="211"/>
        <w:gridCol w:w="511"/>
        <w:gridCol w:w="109"/>
        <w:gridCol w:w="109"/>
        <w:gridCol w:w="109"/>
        <w:gridCol w:w="109"/>
        <w:gridCol w:w="295"/>
        <w:gridCol w:w="295"/>
        <w:gridCol w:w="296"/>
        <w:gridCol w:w="109"/>
        <w:gridCol w:w="109"/>
        <w:gridCol w:w="109"/>
        <w:gridCol w:w="262"/>
        <w:gridCol w:w="505"/>
        <w:gridCol w:w="193"/>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w:t>
              <w:br/>
              <w:t>Value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at September 30, 2023</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As of September 30, 2023, the total share-based compensation costs not yet recognized related to unvested stock options was </w:t>
      </w:r>
      <w:r>
        <w:rPr>
          <w:rFonts w:ascii="Times New Roman;sans-serif" w:hAnsi="Times New Roman;sans-serif"/>
          <w:b w:val="false"/>
          <w:color w:val="000000"/>
          <w:sz w:val="20"/>
          <w:shd w:fill="FFFFFF" w:val="clear"/>
        </w:rPr>
        <w:t>$0.8 million</w:t>
      </w:r>
      <w:r>
        <w:rPr>
          <w:rFonts w:ascii="Times New Roman;sans-serif" w:hAnsi="Times New Roman;sans-serif"/>
          <w:b w:val="false"/>
          <w:color w:val="000000"/>
          <w:sz w:val="20"/>
        </w:rPr>
        <w:t>, which is expected to be recognized over the weighted-average remaining requisite service period of 1.1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Unit (“RSU”) activity is presented below:</w:t>
      </w:r>
    </w:p>
    <w:tbl>
      <w:tblPr>
        <w:tblW w:w="6403" w:type="dxa"/>
        <w:jc w:val="left"/>
        <w:tblInd w:w="0" w:type="dxa"/>
        <w:tblLayout w:type="fixed"/>
        <w:tblCellMar>
          <w:top w:w="28" w:type="dxa"/>
          <w:left w:w="28" w:type="dxa"/>
          <w:bottom w:w="28" w:type="dxa"/>
          <w:right w:w="28" w:type="dxa"/>
        </w:tblCellMar>
      </w:tblPr>
      <w:tblGrid>
        <w:gridCol w:w="1163"/>
        <w:gridCol w:w="1020"/>
        <w:gridCol w:w="1026"/>
        <w:gridCol w:w="308"/>
        <w:gridCol w:w="308"/>
        <w:gridCol w:w="196"/>
        <w:gridCol w:w="109"/>
        <w:gridCol w:w="109"/>
        <w:gridCol w:w="109"/>
        <w:gridCol w:w="495"/>
        <w:gridCol w:w="1199"/>
        <w:gridCol w:w="361"/>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w:t>
              <w:br/>
              <w:t>Date Fair Value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8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As of September 30, 2023, there were approximately </w:t>
      </w:r>
      <w:r>
        <w:rPr>
          <w:rFonts w:ascii="Times New Roman;sans-serif" w:hAnsi="Times New Roman;sans-serif"/>
          <w:b w:val="false"/>
          <w:color w:val="000000"/>
          <w:sz w:val="20"/>
          <w:shd w:fill="FFFFFF" w:val="clear"/>
        </w:rPr>
        <w:t>$10.6 million</w:t>
      </w:r>
      <w:r>
        <w:rPr>
          <w:color w:val="000000"/>
        </w:rPr>
        <w:t xml:space="preserve"> </w:t>
      </w:r>
      <w:r>
        <w:rPr>
          <w:rFonts w:ascii="Times New Roman;sans-serif" w:hAnsi="Times New Roman;sans-serif"/>
          <w:b w:val="false"/>
          <w:color w:val="000000"/>
          <w:sz w:val="20"/>
        </w:rPr>
        <w:t xml:space="preserve">of unrecognized compensation costs related to RSUs.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cost included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672"/>
        <w:gridCol w:w="1462"/>
        <w:gridCol w:w="1466"/>
        <w:gridCol w:w="254"/>
        <w:gridCol w:w="744"/>
        <w:gridCol w:w="131"/>
        <w:gridCol w:w="131"/>
        <w:gridCol w:w="131"/>
        <w:gridCol w:w="131"/>
        <w:gridCol w:w="254"/>
        <w:gridCol w:w="744"/>
        <w:gridCol w:w="131"/>
        <w:gridCol w:w="109"/>
        <w:gridCol w:w="109"/>
        <w:gridCol w:w="109"/>
        <w:gridCol w:w="235"/>
        <w:gridCol w:w="687"/>
        <w:gridCol w:w="121"/>
        <w:gridCol w:w="121"/>
        <w:gridCol w:w="121"/>
        <w:gridCol w:w="121"/>
        <w:gridCol w:w="235"/>
        <w:gridCol w:w="804"/>
        <w:gridCol w:w="182"/>
      </w:tblGrid>
      <w:tr>
        <w:trPr/>
        <w:tc>
          <w:tcPr>
            <w:tcW w:w="167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negative stock-based compensation expense for the nine months ended September 30, 2023 for Research and development was due to forfeitures.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At-The-Market Offering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21, 2023, the Company filed a shelf registration statement on Form S-3 (the “Shelf Registration Statement”) under which the Company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may, from time to time, sell up to 13,266,011 shares of its Class A common stock. As of September 30, 2023, the Company sold, in the aggregate, 2,069,538 shares of its Class A common stock, at an average price of $0.52 per share, for aggregate net proceeds of $0.9 million after deducting commissions and offering expenses. The Company used the aggregate net proceeds for general corporate purposes, and the Company has 11,196,473 remaining shares available under the At-The-Market-Offering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Net Loss Per Share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is computed using the two-class method. Basic net loss per share is computed using the weighted average number of shares of common stock outstanding for the period. Diluted net loss per share reflects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the assumed exercise of any stock options, the vesting of any restricted stock units, the exercise of any warrants (including the Public Warrants and the Private Warrants), the conversion of any convertible debt (including the Notes), and the conversion of any convertible preferred stock, in each case only in the periods in which such effect would have been dilutive.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net loss per share amounts were the same for Class A and Class B common stock because the holders of each class are entitled to equal per share dividends. For the three and nine months ended September 30, 2022, net loss per share amounts were the same for Class A, Class B, and Class C common stock because the holders of each class are entitled to equal per share dividends.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699"/>
        <w:gridCol w:w="1491"/>
        <w:gridCol w:w="1505"/>
        <w:gridCol w:w="217"/>
        <w:gridCol w:w="800"/>
        <w:gridCol w:w="112"/>
        <w:gridCol w:w="112"/>
        <w:gridCol w:w="112"/>
        <w:gridCol w:w="112"/>
        <w:gridCol w:w="217"/>
        <w:gridCol w:w="800"/>
        <w:gridCol w:w="112"/>
        <w:gridCol w:w="109"/>
        <w:gridCol w:w="109"/>
        <w:gridCol w:w="109"/>
        <w:gridCol w:w="212"/>
        <w:gridCol w:w="782"/>
        <w:gridCol w:w="109"/>
        <w:gridCol w:w="109"/>
        <w:gridCol w:w="109"/>
        <w:gridCol w:w="109"/>
        <w:gridCol w:w="212"/>
        <w:gridCol w:w="782"/>
        <w:gridCol w:w="165"/>
      </w:tblGrid>
      <w:tr>
        <w:trPr/>
        <w:tc>
          <w:tcPr>
            <w:tcW w:w="169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redeemable noncontrolling interest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holders of Class A, Class B, and Class C common stock</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137,591</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details of securities that were excluded from the calculation of diluted net income (loss) per share as the effect would have been anti-dilutive:</w:t>
      </w:r>
    </w:p>
    <w:tbl>
      <w:tblPr>
        <w:tblW w:w="7520" w:type="dxa"/>
        <w:jc w:val="left"/>
        <w:tblInd w:w="0" w:type="dxa"/>
        <w:tblLayout w:type="fixed"/>
        <w:tblCellMar>
          <w:top w:w="28" w:type="dxa"/>
          <w:left w:w="28" w:type="dxa"/>
          <w:bottom w:w="28" w:type="dxa"/>
          <w:right w:w="28" w:type="dxa"/>
        </w:tblCellMar>
      </w:tblPr>
      <w:tblGrid>
        <w:gridCol w:w="678"/>
        <w:gridCol w:w="596"/>
        <w:gridCol w:w="601"/>
        <w:gridCol w:w="298"/>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notes </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w:t>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Additionally, the calculation of diluted loss per share excluded 2.4 million RSUs for the nine</w:t>
      </w:r>
      <w:r>
        <w:rPr>
          <w:color w:val="000000"/>
          <w:shd w:fill="FFFFFF" w:val="clear"/>
        </w:rPr>
        <w:t xml:space="preserve"> </w:t>
      </w:r>
      <w:r>
        <w:rPr>
          <w:rFonts w:ascii="Times New Roman;sans-serif" w:hAnsi="Times New Roman;sans-serif"/>
          <w:b w:val="false"/>
          <w:color w:val="000000"/>
          <w:sz w:val="20"/>
          <w:shd w:fill="FFFFFF" w:val="clear"/>
        </w:rPr>
        <w:t>months ended September 30, 2022, for which the related liquidity condition had not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13. Income Taxes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tbl>
      <w:tblPr>
        <w:tblW w:w="7535" w:type="dxa"/>
        <w:jc w:val="left"/>
        <w:tblInd w:w="0" w:type="dxa"/>
        <w:tblLayout w:type="fixed"/>
        <w:tblCellMar>
          <w:top w:w="28" w:type="dxa"/>
          <w:left w:w="28" w:type="dxa"/>
          <w:bottom w:w="28" w:type="dxa"/>
          <w:right w:w="28" w:type="dxa"/>
        </w:tblCellMar>
      </w:tblPr>
      <w:tblGrid>
        <w:gridCol w:w="684"/>
        <w:gridCol w:w="602"/>
        <w:gridCol w:w="604"/>
        <w:gridCol w:w="267"/>
        <w:gridCol w:w="457"/>
        <w:gridCol w:w="343"/>
        <w:gridCol w:w="138"/>
        <w:gridCol w:w="138"/>
        <w:gridCol w:w="138"/>
        <w:gridCol w:w="267"/>
        <w:gridCol w:w="590"/>
        <w:gridCol w:w="343"/>
        <w:gridCol w:w="109"/>
        <w:gridCol w:w="109"/>
        <w:gridCol w:w="109"/>
        <w:gridCol w:w="230"/>
        <w:gridCol w:w="508"/>
        <w:gridCol w:w="295"/>
        <w:gridCol w:w="119"/>
        <w:gridCol w:w="119"/>
        <w:gridCol w:w="119"/>
        <w:gridCol w:w="230"/>
        <w:gridCol w:w="672"/>
        <w:gridCol w:w="345"/>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and 2022, the Company’s effective tax rate differed from the U.S. federal statutory income tax rate of 21% primarily due to limited tax benefits provided for against its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year pre-tax operating loss, as the Company maintains a full valuation allowance against its U.S. deferred tax assets that are not realizable on a more-likely-than-not basis. Additionally, the Company recorded a $0.9 million discrete tax expense during the three and nine months ended September 30, 2022, primarily related to changes to the Company’s valuation allowance related to Complex Networks’ measurement period adjustments as a result of the finalization of Complex Networks’ pre-acquisition tax filings.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Restructuring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20, 2023, the Company announced plans to reduce expenses by implementing an approximately 15% reduction in the current workforce. The reduction in workforce plan is part of a broader strategic reprioritization across the Company in order to accelerate revenue growth and improve upon profitability and cash flow. The Company incurred approximately $9.7 million of restructuring costs for the nine months ended September 30, 2023, comprised mainly of severance and related benefit costs, of which $5.5 million were included in Cost of revenue, excluding depreciation and amortization, $2.8 million were included in Sales and marketing, $0.6 million were included in General and administrative, and $0.8 million were included in Research and development.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$nil and $5.3 million of restructuring costs for the three and nine months ended September 30, 2022, respectively, comprised mainly of severance and related benefit costs. For the nine months ended September 30, 2022, approximately $4.4 million were included in Cost of revenue, excluding depreciation and amortization, $0.3 million were included in Sales and marketing, $0.5 million were included in General and administrative, and $0.1 million were included in Research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Leases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leases office space under non-cancelable operating leases with various expiration dates through 2029. The Company accounts for leases under Accounting Standards Update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subleases certain leased office space to third parties when it determines there is excess leased capacity. On July 8,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will pay a fixed monthly rent of $0.8 million, subject to periodic increases. In-lieu of a cash security deposit, the Company received a letter of credit from Citibank for approximately $4.5 million.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 Refer to Note 21 herein for information regarding an impairment charge the Company recorded during the three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original lease of the Company’s former corporate headquarters that was fully subleased during the third quarter of 2022.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illustrates the lease costs for the three and nine months ended September 30, 2023 and 2022:</w:t>
      </w:r>
    </w:p>
    <w:tbl>
      <w:tblPr>
        <w:tblW w:w="7620" w:type="dxa"/>
        <w:jc w:val="left"/>
        <w:tblInd w:w="0" w:type="dxa"/>
        <w:tblLayout w:type="fixed"/>
        <w:tblCellMar>
          <w:top w:w="28" w:type="dxa"/>
          <w:left w:w="28" w:type="dxa"/>
          <w:bottom w:w="28" w:type="dxa"/>
          <w:right w:w="28" w:type="dxa"/>
        </w:tblCellMar>
      </w:tblPr>
      <w:tblGrid>
        <w:gridCol w:w="635"/>
        <w:gridCol w:w="558"/>
        <w:gridCol w:w="562"/>
        <w:gridCol w:w="109"/>
        <w:gridCol w:w="109"/>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components of total lease cost are recorded within General and administrative expenses within the condensed consolidated statement of operations. The Company does not have material short-term or variable lease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were recorded in the Company’s condensed consolidated balance sheet related to operating leases:</w:t>
      </w:r>
    </w:p>
    <w:tbl>
      <w:tblPr>
        <w:tblW w:w="5726" w:type="dxa"/>
        <w:jc w:val="left"/>
        <w:tblInd w:w="0" w:type="dxa"/>
        <w:tblLayout w:type="fixed"/>
        <w:tblCellMar>
          <w:top w:w="28" w:type="dxa"/>
          <w:left w:w="28" w:type="dxa"/>
          <w:bottom w:w="28" w:type="dxa"/>
          <w:right w:w="28" w:type="dxa"/>
        </w:tblCellMar>
      </w:tblPr>
      <w:tblGrid>
        <w:gridCol w:w="835"/>
        <w:gridCol w:w="735"/>
        <w:gridCol w:w="740"/>
        <w:gridCol w:w="313"/>
        <w:gridCol w:w="1070"/>
        <w:gridCol w:w="161"/>
        <w:gridCol w:w="109"/>
        <w:gridCol w:w="109"/>
        <w:gridCol w:w="109"/>
        <w:gridCol w:w="300"/>
        <w:gridCol w:w="1026"/>
        <w:gridCol w:w="21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51,162 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38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9025" w:type="dxa"/>
        <w:jc w:val="left"/>
        <w:tblInd w:w="0" w:type="dxa"/>
        <w:tblLayout w:type="fixed"/>
        <w:tblCellMar>
          <w:top w:w="28" w:type="dxa"/>
          <w:left w:w="28" w:type="dxa"/>
          <w:bottom w:w="28" w:type="dxa"/>
          <w:right w:w="28" w:type="dxa"/>
        </w:tblCellMar>
      </w:tblPr>
      <w:tblGrid>
        <w:gridCol w:w="2015"/>
        <w:gridCol w:w="1770"/>
        <w:gridCol w:w="1779"/>
        <w:gridCol w:w="514"/>
        <w:gridCol w:w="514"/>
        <w:gridCol w:w="516"/>
        <w:gridCol w:w="109"/>
        <w:gridCol w:w="109"/>
        <w:gridCol w:w="109"/>
        <w:gridCol w:w="465"/>
        <w:gridCol w:w="465"/>
        <w:gridCol w:w="660"/>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2022</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measurement of lease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 liabilities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25,434 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17" w:type="dxa"/>
        <w:jc w:val="left"/>
        <w:tblInd w:w="0" w:type="dxa"/>
        <w:tblLayout w:type="fixed"/>
        <w:tblCellMar>
          <w:top w:w="28" w:type="dxa"/>
          <w:left w:w="28" w:type="dxa"/>
          <w:bottom w:w="28" w:type="dxa"/>
          <w:right w:w="28" w:type="dxa"/>
        </w:tblCellMar>
      </w:tblPr>
      <w:tblGrid>
        <w:gridCol w:w="1410"/>
        <w:gridCol w:w="1241"/>
        <w:gridCol w:w="1249"/>
        <w:gridCol w:w="344"/>
        <w:gridCol w:w="344"/>
        <w:gridCol w:w="857"/>
        <w:gridCol w:w="109"/>
        <w:gridCol w:w="109"/>
        <w:gridCol w:w="109"/>
        <w:gridCol w:w="314"/>
        <w:gridCol w:w="314"/>
        <w:gridCol w:w="91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September 30, 2023 were as follows:</w:t>
      </w:r>
    </w:p>
    <w:tbl>
      <w:tblPr>
        <w:tblW w:w="3641" w:type="dxa"/>
        <w:jc w:val="left"/>
        <w:tblInd w:w="0" w:type="dxa"/>
        <w:tblLayout w:type="fixed"/>
        <w:tblCellMar>
          <w:top w:w="28" w:type="dxa"/>
          <w:left w:w="28" w:type="dxa"/>
          <w:bottom w:w="28" w:type="dxa"/>
          <w:right w:w="28" w:type="dxa"/>
        </w:tblCellMar>
      </w:tblPr>
      <w:tblGrid>
        <w:gridCol w:w="687"/>
        <w:gridCol w:w="604"/>
        <w:gridCol w:w="613"/>
        <w:gridCol w:w="109"/>
        <w:gridCol w:w="109"/>
        <w:gridCol w:w="109"/>
        <w:gridCol w:w="274"/>
        <w:gridCol w:w="936"/>
        <w:gridCol w:w="20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78,345 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64,736 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Sublease receipts to be received in the future under noncancelable subleases as of September 30, 2023 were as follows:</w:t>
      </w:r>
    </w:p>
    <w:tbl>
      <w:tblPr>
        <w:tblW w:w="3093"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72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Guarantees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various lawsuits and claims in the ordinary course of business.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Video Privacy Protection Act: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a lawsuit titled Hunthausen v. BuzzFeed, Inc. was filed against the Company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is seeking an injunction to stop further alleged wrongful conduct, to recover unspecified compensatory damages and an award of costs, and any further appropriate relief. The Company has moved to dismiss the case.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2023, the Company received 8,927 individual demands for JAMS arbitration in California, all of which allege that the Company violated the VPPA by transmitting personally identifying information via the Meta pixel,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purportedly connected to posts on the BuzzFeed website. Each claimant is seeking to recover damages in the amount of $2,500 for each alleged violation of the VPPA. No arbitration claims have yet been filed in connection with these demands.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15, 2023, the Company received (1) 5,247 individual demands for JAMS arbitration in California, all of which allege that the Company violated the VPPA by transmitting personally identifying information via the use of various pixels purportedly in connection with the HuffPost.com website; and (2) 12,176 individual demands for JAMS arbitration in California, all of which allege that the Company violated the VPPA by transmitting personal identifying information via the use of various pixels purportedly in connection with the BuzzFeed.com website. Each claimant is seeking to recover damages in the amount of $2,500 for each alleged violation of the VPPA, as well as punitive damages, attorneys’ fees and costs, and equitable relief. No arbitration claims have yet been filed in connection with these demands.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Mass Arbitrations: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Two mass arbitrations (the “Arbitrations”) were initiated before the American Arbitration Association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have cross-moved for summary judgment and a hearing on those motions is pending.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settled or resolved certain legal matters during the three and nine months ended September 30, 2023 and 2022 that did not individually or in the aggregate have a material impact on the Company’s business or its condensed consolidated balance sheets, results of operations or cash flows.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Nasdaq Listing Compliance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2023, the Company received a letter (the “Notice”) from the Listing Qualifications Department (the “Staff”) of The Nasdaq Stock Market LLC (“Nasdaq”) notifying the Company that, for the previous 30 consecutive business days, the bid price for the Company’s common stock had closed below the minimum $1.00 per share requirement for continued listing on the Nasdaq Global Market under Nasdaq Listing Rule 5550(a)(2) (the “Bid Price Requirement”).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Notice has no effect at this time on the Company’s common stock or warrants, which continue to trade on the Nasdaq Global Market under the symbols “BZFD” and “BZFDW,” respectively.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5810(c)(3)(A), the Company has been provided an initial period of 180 calendar days, or until November 27, 2023 (the “Compliance Date”), to regain compliance with the Bid Price Requirement. If, at any time before the Compliance Date, the bid price for the Company’s common stock closes at $1.00 or more for at least 10 consecutive business days, unless the Staff exercises its discretion to extend this 10-day period pursuant to Nasdaq Listing Rule 5810(c)(3)(H), the Staff will provide written notification to the Company that it has regained compliance with the Bid Price Requirement.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not in compliance with the Bid Price Requirement by the Compliance Date, the Company may qualify for a second 180-calendar day compliance period. To qualify, the Company would be required, among other things, to transfer from the Nasdaq Global Market to the Nasdaq Capital Market, to meet the continued listing requirement for the market value of publicly held shares, as well as the standards for initial listing on the Nasdaq Capital Market with the exception of the Bid Price Requirement, and would need to provide written notice of its intention to cure the bid price deficiency during the second compliance period. If the Company does not qualify for, or fails to regain compliance during, a second compliance period, then the Staff will provide written notification to the Company that its common stock will be subject to delisting. At that time, the Company may appeal the Staff’s delisting determination to the Nasdaq Listing Qualifications Panel. However, there can be no assurance that, if the Company receives a delisting notice and appeals the delisting determination, such an appeal would be successful.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monitor the closing bid price of its common stock and may, if appropriate, consider available options to regain compliance with the Bid Price Requirement. To the extent such Bid Price Requirement is not regained by November 27, 2023, the Company plans to seek a 180-calendar day extension of time in conjunction with the submission of an application to transfer to The Nasdaq Capital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17. Segment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Related Party Transactions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recognized revenue from NBCUniversal Media, LLC (“NBCU”) of $1.9 million and $1.2 million for the three months ended September 30, 2023 and 2022, respectively, and $2.6 million and $3.3 million for the nine months ended September 30, 2023 and 2022, respectively. The Company recognized expenses under contractual obligations from NBCU of $nil and $0.2 million for the three months ended September 30, 2023 and 2022, respectively, and $nil and $0.6 million for the nine months ended September 30, 2023 and 2022, respectively. The Company had outstanding receivable balances of $2.0 million and </w:t>
      </w:r>
      <w:r>
        <w:rPr>
          <w:rFonts w:ascii="Times New Roman;sans-serif" w:hAnsi="Times New Roman;sans-serif"/>
          <w:b w:val="false"/>
          <w:color w:val="000000"/>
          <w:sz w:val="20"/>
          <w:shd w:fill="FFFFFF" w:val="clear"/>
        </w:rPr>
        <w:t>$2.2 million</w:t>
      </w:r>
      <w:r>
        <w:rPr>
          <w:color w:val="000000"/>
        </w:rPr>
        <w:t xml:space="preserve"> </w:t>
      </w:r>
      <w:r>
        <w:rPr>
          <w:rFonts w:ascii="Times New Roman;sans-serif" w:hAnsi="Times New Roman;sans-serif"/>
          <w:b w:val="false"/>
          <w:color w:val="000000"/>
          <w:sz w:val="20"/>
        </w:rPr>
        <w:t>from NBCU as of September 30, 2023 and December 31, 2022, respectively. The Company had an outstanding payable balance of $0.2 million to NBCU as of September 30, 2023 (none as of December 31, 2022).</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On March 15, 2023, Verizon Ventures LLC (“Verizon”) converted all 6,478,031 shares of Class C common stock into Class A common stock, resulting in Verizon and its affiliates holding more than 5% of our Class A common stock. Verizon is the landlord for the Company’s corporate headquarters (assumed from the Complex Networks Acquisition), and we transact with Verizon in the normal course of business, such as with agency advertising deals and for certain utilities. The Company recognized revenue from Verizon of $nil for both the three and nine months ended September 30, 2023 and 2022. The Company recognized expenses under contractual obligations from Verizon of $1.5 million for both the three months ended September 30, 2023 and 2022, and $4.5 million for both the nine months ended September 30, 2023 and 2022. The Company had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 xml:space="preserve">outstanding receivables or payables from or to Verizon as of September 30, 2023 or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Supplemental Disclosures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Film Costs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Film costs, which were included in Prepaid and other assets on the condensed consolidated balance sheets, were as follows:</w:t>
      </w:r>
    </w:p>
    <w:tbl>
      <w:tblPr>
        <w:tblW w:w="5740" w:type="dxa"/>
        <w:jc w:val="left"/>
        <w:tblInd w:w="0" w:type="dxa"/>
        <w:tblLayout w:type="fixed"/>
        <w:tblCellMar>
          <w:top w:w="28" w:type="dxa"/>
          <w:left w:w="28" w:type="dxa"/>
          <w:bottom w:w="28" w:type="dxa"/>
          <w:right w:w="28" w:type="dxa"/>
        </w:tblCellMar>
      </w:tblPr>
      <w:tblGrid>
        <w:gridCol w:w="841"/>
        <w:gridCol w:w="740"/>
        <w:gridCol w:w="743"/>
        <w:gridCol w:w="348"/>
        <w:gridCol w:w="1017"/>
        <w:gridCol w:w="180"/>
        <w:gridCol w:w="109"/>
        <w:gridCol w:w="109"/>
        <w:gridCol w:w="109"/>
        <w:gridCol w:w="422"/>
        <w:gridCol w:w="812"/>
        <w:gridCol w:w="310"/>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Individual Monetization:</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Feature films in production</w:t>
            </w:r>
          </w:p>
        </w:tc>
        <w:tc>
          <w:tcPr>
            <w:tcW w:w="34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material amortization of film costs for the three and nine months ended September 30, 2023 or 2022.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Governmental Assistance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Production tax incentives reduced capitalized film costs by $1.5 million as of December 31, 2022 (none as of September 30, 2023). The Company had receivables related to our production tax credits of $3.0 million as of September 30, 2023 and December 31, 2022, included in Prepaid and other current assets in our condensed consolidated balance sheet.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Disclosures</w:t>
      </w:r>
    </w:p>
    <w:tbl>
      <w:tblPr>
        <w:tblW w:w="8816" w:type="dxa"/>
        <w:jc w:val="left"/>
        <w:tblInd w:w="0" w:type="dxa"/>
        <w:tblLayout w:type="fixed"/>
        <w:tblCellMar>
          <w:top w:w="28" w:type="dxa"/>
          <w:left w:w="28" w:type="dxa"/>
          <w:bottom w:w="28" w:type="dxa"/>
          <w:right w:w="28" w:type="dxa"/>
        </w:tblCellMar>
      </w:tblPr>
      <w:tblGrid>
        <w:gridCol w:w="2238"/>
        <w:gridCol w:w="1962"/>
        <w:gridCol w:w="1979"/>
        <w:gridCol w:w="248"/>
        <w:gridCol w:w="724"/>
        <w:gridCol w:w="128"/>
        <w:gridCol w:w="128"/>
        <w:gridCol w:w="128"/>
        <w:gridCol w:w="128"/>
        <w:gridCol w:w="248"/>
        <w:gridCol w:w="724"/>
        <w:gridCol w:w="181"/>
      </w:tblGrid>
      <w:tr>
        <w:trPr/>
        <w:tc>
          <w:tcPr>
            <w:tcW w:w="2238"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related to property and equipment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deferred offering costs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accounts receivable for investment in equity securities</w:t>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 Other Expense, Net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consisted of the following for the three and nine months ended September 30, 2023 and 2022:</w:t>
      </w:r>
    </w:p>
    <w:tbl>
      <w:tblPr>
        <w:tblW w:w="9649" w:type="dxa"/>
        <w:jc w:val="left"/>
        <w:tblInd w:w="0" w:type="dxa"/>
        <w:tblLayout w:type="fixed"/>
        <w:tblCellMar>
          <w:top w:w="28" w:type="dxa"/>
          <w:left w:w="28" w:type="dxa"/>
          <w:bottom w:w="28" w:type="dxa"/>
          <w:right w:w="28" w:type="dxa"/>
        </w:tblCellMar>
      </w:tblPr>
      <w:tblGrid>
        <w:gridCol w:w="885"/>
        <w:gridCol w:w="777"/>
        <w:gridCol w:w="782"/>
        <w:gridCol w:w="109"/>
        <w:gridCol w:w="109"/>
        <w:gridCol w:w="238"/>
        <w:gridCol w:w="238"/>
        <w:gridCol w:w="461"/>
        <w:gridCol w:w="1510"/>
        <w:gridCol w:w="238"/>
        <w:gridCol w:w="109"/>
        <w:gridCol w:w="109"/>
        <w:gridCol w:w="109"/>
        <w:gridCol w:w="233"/>
        <w:gridCol w:w="763"/>
        <w:gridCol w:w="120"/>
        <w:gridCol w:w="120"/>
        <w:gridCol w:w="120"/>
        <w:gridCol w:w="120"/>
        <w:gridCol w:w="233"/>
        <w:gridCol w:w="763"/>
        <w:gridCol w:w="120"/>
        <w:gridCol w:w="109"/>
        <w:gridCol w:w="109"/>
        <w:gridCol w:w="109"/>
        <w:gridCol w:w="211"/>
        <w:gridCol w:w="69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383"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21. Impairment Expense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2022, the Company subleased its former corporate headquarters to a third party. The sublease commenced on August 26, 2022 and expires on May 30, 2026, unless terminated sooner in accordance with the provisions of the sublease. In connection with the sublease, the Company afforded the subtenant a four-month rent free period, which was the main driver in the resulting cash outflows exceeding the cash inflows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 of the sublease. As such, the Company identified a triggering event for a potential impairment with respect to certain assets associated with the subleased property (specifically, right-of-use assets and leasehold improvements). The Company determined the subleased property represented a separate asset class for the purposes of impairment testing and measurement, and the Company recorded a non-cash impairment charge of $2.2 million, with $1.4 million allocated to the right-of-use asset, and the remaining $0.8 million allocated to leasehold improvements. The fair values were determined based on estimated future discounted cash flows using market participant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BuzzFeed is a premier digital media company for the most diverse, most online, and most socially connected generations the world has ever seen. Across food, news, pop culture and commerce, our brands drive conversation and inspire what audiences watch, read, and buy now — and into the future. With a portfolio of iconic, globally-loved brands that includes BuzzFeed, HuffPost, Tasty, Complex Networks, and First We Feast, we are the number one destination for Gen Z and Millennials amongst our competitive set, in terms of time spent, according to Comscore.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BuzzFeed curates the Internet, and acts as an “inspiration engine,” driving both online and real-world action and transactions. Our strong audience signal and powerful content flywheel enable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media platforms, including Facebook, YouTube, Instagram, TikTok, Snapchat, Twitter, and Apple News. In 2022, our audiences consumed more than 620</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million hours of content and drove over $500 million in attributable transactions.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(on an Adjusted EBITDA basis, a non-GAAP financial measure, as defined elsewhere below). Our data-driven approach to content creation and our cross-platform distribution network have enabled us to monetize our content by delivering a suite of digital advertising products and services and introducing new, complementary revenue streams.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Facebook. Effective January 1, 2023, we exclude Facebook from our measure of Time Spent. Refer to the “Executive Overview” section below for additional details. Time spent on Facebook, as reported by Facebook, was approximately 184 million hours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The Business Combination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subscription agreements entered into in connection with the entry into the merger agreement pursuant to which the Business Combination was consummated, we issued, and certain investors purchased, $150.0 million aggregate principal amount of unsecured convertible notes due 2026 in connection with the closing of the Business Combination (the “Notes”). Refer to Note 9 to the condensed consolidated financial statements in Item 1 of this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2022, the board of directors waived the liquidity condition associated with 2.4 million restricted stock units that the Business Combination did not satisfy, permitting them to vest (based on service). We recognized approximately $8.2 million of stock-based compensation expense in the second quarter of 2022. There was no such one-time expense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Restructuring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20, 2023, the Company announced plans to reduce expenses by implementing an approximately 15% reduction in the current workforce. The reduction in workforce plan is part of a broader strategic reprioritization across the Company in order to accelerate revenue growth and improve upon profitability and cash flow. The Company incurred approximately $9.7 million of restructuring costs for the nine months ended September 30, 2023, comprised mainly of severance and related benefit costs, of which $5.5 million were included in Cost of revenue, excluding depreciation and amortization, $2.8 million were included in Sales and marketing, $0.6 million were included in General and administrative, and $0.8 million were included in Research and development.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in connection with the acquisition of Complex Networks, the Company approved certain organizational changes to align sales and marketing and general and administrative functions as well as changes in content to better serve audience demands. Additionally, in June 2022, as part of a strategic repositioning of BuzzFeed News, the Company entered into a voluntary buyout proposal covering certain desks which was negotiated as part of collective bargaining between the Company and the BuzzFeed News Union. The Company incurred approximately $nil and $5.3 million of restructuring costs for the three and nine months ended September 30, 2022, respectively, comprised mainly of severance and related benefit costs. For the nine months ended September 30, 2022, approximately $4.4 million were included in Cost of revenue, excluding depreciation and amortization, $0.3 million were included in Sales and marketing, $0.5 million were included in General and administrative, and $0.1 million were included in Research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Impact of the COVID-19 Pandemic</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declared the viral strain of COVID-19 a global pandemic and recommended containment and mitigation measures worldwide. The spread of COVID-19 and the resulting economic contraction resulted in increased business uncertainty and significantly impacted our business and results of operations. While the extent of the impact has generally decreased, we continue to monitor the status, and respond to the effects of, the COVID-19 pandemic and its impact on our business. Future developments regarding COVID-19 continue to be uncertain and difficult to predict. There can be no assurances that future impacts related to COVID-19, including new variants, or other global pandemics will not adversely impact our business, results of operations, financial condition and cash flows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Effects of Current Economic Conditions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We believe advertising and content budgets have been, and may continue to be, affected by macroeconomic factors, such as market uncertainty and rising interest rates, which has led to reduced spending from advertising and content customers. These macroeconomic factors have adversely impacted our advertising and content revenue to date in 2023 and we expect these factors will continue to adversely affect our revenue in fiscal year 2023.</w:t>
      </w:r>
      <w:r>
        <w:rPr>
          <w:color w:val="000000"/>
          <w:shd w:fill="FFFFFF" w:val="clear"/>
        </w:rPr>
        <w:t xml:space="preserve"> </w:t>
      </w:r>
      <w:r>
        <w:rPr>
          <w:rFonts w:ascii="Times New Roman;sans-serif" w:hAnsi="Times New Roman;sans-serif"/>
          <w:b w:val="false"/>
          <w:color w:val="000000"/>
          <w:sz w:val="20"/>
          <w:shd w:fill="FFFFFF" w:val="clear"/>
        </w:rPr>
        <w:t>In addition, u</w:t>
      </w:r>
      <w:r>
        <w:rPr>
          <w:rFonts w:ascii="Times New Roman;sans-serif" w:hAnsi="Times New Roman;sans-serif"/>
          <w:b w:val="false"/>
          <w:color w:val="000000"/>
          <w:sz w:val="20"/>
        </w:rPr>
        <w:t xml:space="preserve">ncertainty surrounding macroeconomic factors in the United States (the “U.S.”) and globally characterized by inflationary pressure, rising interest rates, geopolitical issues or other factors may result in a recession, which could have a material adverse effect on our business. </w:t>
      </w:r>
      <w:r>
        <w:rPr>
          <w:rFonts w:ascii="Times New Roman;sans-serif" w:hAnsi="Times New Roman;sans-serif"/>
          <w:b w:val="false"/>
          <w:color w:val="000000"/>
          <w:sz w:val="20"/>
          <w:shd w:fill="FFFFFF" w:val="clear"/>
        </w:rPr>
        <w:t xml:space="preserve">Refer to </w:t>
      </w:r>
      <w:r>
        <w:rPr>
          <w:rFonts w:ascii="Times New Roman;sans-serif" w:hAnsi="Times New Roman;sans-serif"/>
          <w:b w:val="false"/>
          <w:color w:val="000000"/>
          <w:sz w:val="20"/>
        </w:rPr>
        <w:t>Part II, Item 1A “Risk Factors” herein and</w:t>
      </w:r>
      <w:r>
        <w:rPr>
          <w:color w:val="000000"/>
          <w:shd w:fill="FFFFFF" w:val="clear"/>
        </w:rPr>
        <w:t xml:space="preserve"> </w:t>
      </w:r>
      <w:r>
        <w:rPr>
          <w:rFonts w:ascii="Times New Roman;sans-serif" w:hAnsi="Times New Roman;sans-serif"/>
          <w:b w:val="false"/>
          <w:color w:val="000000"/>
          <w:sz w:val="20"/>
          <w:shd w:fill="FFFFFF" w:val="clear"/>
        </w:rPr>
        <w:t xml:space="preserve">Part I, Item 1A “Risk Factors” </w:t>
      </w:r>
      <w:r>
        <w:rPr>
          <w:rFonts w:ascii="Times New Roman;sans-serif" w:hAnsi="Times New Roman;sans-serif"/>
          <w:b w:val="false"/>
          <w:color w:val="000000"/>
          <w:sz w:val="20"/>
        </w:rPr>
        <w:t>within our Annual Report on Form 10-K for the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Executive Overview</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operational highlights for the periods presented (in thousands):</w:t>
      </w:r>
    </w:p>
    <w:tbl>
      <w:tblPr>
        <w:tblW w:w="7488" w:type="dxa"/>
        <w:jc w:val="left"/>
        <w:tblInd w:w="0" w:type="dxa"/>
        <w:tblLayout w:type="fixed"/>
        <w:tblCellMar>
          <w:top w:w="28" w:type="dxa"/>
          <w:left w:w="28" w:type="dxa"/>
          <w:bottom w:w="28" w:type="dxa"/>
          <w:right w:w="28" w:type="dxa"/>
        </w:tblCellMar>
      </w:tblPr>
      <w:tblGrid>
        <w:gridCol w:w="656"/>
        <w:gridCol w:w="576"/>
        <w:gridCol w:w="583"/>
        <w:gridCol w:w="218"/>
        <w:gridCol w:w="825"/>
        <w:gridCol w:w="113"/>
        <w:gridCol w:w="113"/>
        <w:gridCol w:w="113"/>
        <w:gridCol w:w="113"/>
        <w:gridCol w:w="218"/>
        <w:gridCol w:w="856"/>
        <w:gridCol w:w="113"/>
        <w:gridCol w:w="109"/>
        <w:gridCol w:w="109"/>
        <w:gridCol w:w="109"/>
        <w:gridCol w:w="211"/>
        <w:gridCol w:w="826"/>
        <w:gridCol w:w="109"/>
        <w:gridCol w:w="109"/>
        <w:gridCol w:w="109"/>
        <w:gridCol w:w="109"/>
        <w:gridCol w:w="211"/>
        <w:gridCol w:w="82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GAAP</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Non-Financial</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Time Spent</w:t>
            </w:r>
            <w:r>
              <w:rPr>
                <w:rFonts w:ascii="Times New Roman;sans-serif" w:hAnsi="Times New Roman;sans-serif"/>
                <w:b w:val="false"/>
                <w:color w:val="000000"/>
                <w:sz w:val="13"/>
              </w:rPr>
              <w:t>(2)</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(1)See “</w:t>
      </w:r>
      <w:r>
        <w:rPr>
          <w:rFonts w:ascii="Times New Roman;sans-serif" w:hAnsi="Times New Roman;sans-serif"/>
          <w:b w:val="false"/>
          <w:i/>
          <w:color w:val="000000"/>
          <w:sz w:val="20"/>
        </w:rPr>
        <w:t>Reconciliation from Net loss to Adjusted EBITDA</w:t>
      </w:r>
      <w:r>
        <w:rPr>
          <w:color w:val="000000"/>
        </w:rPr>
        <w:t xml:space="preserve">” </w:t>
      </w:r>
      <w:r>
        <w:rPr>
          <w:rFonts w:ascii="Times New Roman;sans-serif" w:hAnsi="Times New Roman;sans-serif"/>
          <w:b w:val="false"/>
          <w:color w:val="000000"/>
          <w:sz w:val="20"/>
        </w:rPr>
        <w:t>for a reconciliation of Adjusted EBITDA to the most directly comparable financial measure in accordance with accounting principles generally accepted in the U.S (“GAAP”).</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ans-serif" w:hAnsi="Times New Roman;sans-serif"/>
          <w:b w:val="false"/>
          <w:color w:val="000000"/>
          <w:sz w:val="20"/>
          <w:shd w:fill="FFFFFF" w:val="clear"/>
        </w:rPr>
        <w:t>and</w:t>
      </w:r>
      <w:r>
        <w:rPr>
          <w:color w:val="000000"/>
        </w:rPr>
        <w:t xml:space="preserve"> </w:t>
      </w:r>
      <w:r>
        <w:rPr>
          <w:rFonts w:ascii="Times New Roman;sans-serif" w:hAnsi="Times New Roman;sans-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 xml:space="preserve">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w:t>
      </w:r>
      <w:r>
        <w:rPr>
          <w:rFonts w:ascii="Times New Roman;sans-serif" w:hAnsi="Times New Roman;sans-serif"/>
          <w:b w:val="false"/>
          <w:color w:val="000000"/>
          <w:sz w:val="20"/>
          <w:shd w:fill="FFFFFF" w:val="clear"/>
        </w:rPr>
        <w:t xml:space="preserve">Time Spent for the three and nine months ended September 30, 2023 decreased by 19% and 10%, respectively, consistent with broader industry trends, </w:t>
      </w:r>
      <w:r>
        <w:rPr>
          <w:rFonts w:ascii="Times New Roman;sans-serif" w:hAnsi="Times New Roman;sans-serif"/>
          <w:b w:val="false"/>
          <w:color w:val="000000"/>
          <w:sz w:val="20"/>
        </w:rPr>
        <w:t>amongst our competitive set, according to Comscore</w:t>
      </w:r>
      <w:r>
        <w:rPr>
          <w:rFonts w:ascii="Times New Roman;sans-serif" w:hAnsi="Times New Roman;sans-serif"/>
          <w:b w:val="false"/>
          <w:color w:val="000000"/>
          <w:sz w:val="20"/>
          <w:shd w:fill="FFFFFF" w:val="clear"/>
        </w:rPr>
        <w:t xml:space="preserve">. Effective January 1, 2023, we exclude time spent on Facebook from our measure of Time Spent, as our monetization strategy is increasingly focused on advertising on our owned and operated properties, and Facebook now contributes an immaterial amount of advertising revenue. Time Spent on Facebook, as reported by Facebook, was approximately 11 million hours and 37 million hours for the three months ended September 30, 2023 and 2022, respectively, and 48 million hours and 157 million hours for the nine months ended September 30, 2023 and 2022, respectively, which is not included in Time Spent presented in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Content Performance Metrics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certain metrics to assess the operational and financial performance of our business. Effective January 1, 2023, we have introduced new metrics with respect to our branded content revenue, which represents the majority of our reported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should not consider them in isolation. Additionally, the aforementioned metrics do not have any standardized meaning and are therefore unlikely to be comparable to similarly titled measures presented by other companies. Pro forma amounts for acquisitions are calculated as if the acquisitions occurred on the first day of the applicable period.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following table sets forth certain operating metrics for our branded content revenue for the three months ended </w:t>
      </w:r>
      <w:r>
        <w:rPr>
          <w:rFonts w:ascii="Times New Roman;sans-serif" w:hAnsi="Times New Roman;sans-serif"/>
          <w:b w:val="false"/>
          <w:color w:val="000000"/>
          <w:sz w:val="20"/>
          <w:shd w:fill="FFFFFF" w:val="clear"/>
        </w:rPr>
        <w:t>September 30, 2023 and 2022</w:t>
      </w:r>
      <w:r>
        <w:rPr>
          <w:color w:val="000000"/>
        </w:rPr>
        <w:t xml:space="preserve"> </w:t>
      </w:r>
      <w:r>
        <w:rPr>
          <w:rFonts w:ascii="Times New Roman;sans-serif" w:hAnsi="Times New Roman;sans-serif"/>
          <w:b w:val="false"/>
          <w:color w:val="000000"/>
          <w:sz w:val="20"/>
        </w:rPr>
        <w:t>(on a trailing 12-month basis):</w:t>
      </w:r>
    </w:p>
    <w:tbl>
      <w:tblPr>
        <w:tblW w:w="7098" w:type="dxa"/>
        <w:jc w:val="left"/>
        <w:tblInd w:w="0" w:type="dxa"/>
        <w:tblLayout w:type="fixed"/>
        <w:tblCellMar>
          <w:top w:w="28" w:type="dxa"/>
          <w:left w:w="28" w:type="dxa"/>
          <w:bottom w:w="28" w:type="dxa"/>
          <w:right w:w="28" w:type="dxa"/>
        </w:tblCellMar>
      </w:tblPr>
      <w:tblGrid>
        <w:gridCol w:w="1794"/>
        <w:gridCol w:w="1572"/>
        <w:gridCol w:w="1584"/>
        <w:gridCol w:w="211"/>
        <w:gridCol w:w="406"/>
        <w:gridCol w:w="271"/>
        <w:gridCol w:w="109"/>
        <w:gridCol w:w="109"/>
        <w:gridCol w:w="109"/>
        <w:gridCol w:w="211"/>
        <w:gridCol w:w="406"/>
        <w:gridCol w:w="316"/>
      </w:tblGrid>
      <w:tr>
        <w:trPr/>
        <w:tc>
          <w:tcPr>
            <w:tcW w:w="179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branded content advertiser revenue retention</w:t>
            </w:r>
            <w:r>
              <w:rPr>
                <w:rFonts w:ascii="Times New Roman;sans-serif" w:hAnsi="Times New Roman;sans-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810"/>
              <w:jc w:val="left"/>
              <w:rPr/>
            </w:pPr>
            <w:r>
              <w:rPr>
                <w:rFonts w:ascii="Times New Roman;sans-serif" w:hAnsi="Times New Roman;sans-serif"/>
                <w:b w:val="false"/>
                <w:color w:val="000000"/>
                <w:sz w:val="20"/>
              </w:rPr>
              <w:t>Branded content advertisers</w:t>
            </w:r>
            <w:r>
              <w:rPr>
                <w:rFonts w:ascii="Times New Roman;sans-serif" w:hAnsi="Times New Roman;sans-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&gt;90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&gt;110</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810"/>
              <w:jc w:val="left"/>
              <w:rPr/>
            </w:pPr>
            <w:r>
              <w:rPr>
                <w:rFonts w:ascii="Times New Roman;sans-serif" w:hAnsi="Times New Roman;sans-serif"/>
                <w:b w:val="false"/>
                <w:color w:val="000000"/>
                <w:sz w:val="20"/>
              </w:rPr>
              <w:t>Net average branded content advertiser revenue</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(1)Net branded content advertiser revenue retention is calculated by dividing the branded content revenue for the trailing 12 month from the close of the current reporting period, from advertisers who were also advertisers at the close of the same period in the prior year (the “base period”), by the branded content revenue for the trailing 12 month from the close of the base period. This analysis only considers branded content advertisers who spent greater than $250,000 in the trailing 12 months from the close of the base period, and is pro forma for acquisitions.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the actual number of branded content advertisers, excluding branded content advertisers that spent less than $250,000 during the trailing 12 months at the close of the current reporting period, and is pro forma for acquisitions. This does not mean an included advertiser spent $250,000 in any given quarter.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This does not mean an included advertiser spent $250,000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both"/>
        <w:rPr/>
      </w:pPr>
      <w:r>
        <w:rPr>
          <w:rFonts w:ascii="Times New Roman;sans-serif" w:hAnsi="Times New Roman;sans-serif"/>
          <w:b/>
          <w:i/>
          <w:color w:val="000000"/>
          <w:sz w:val="20"/>
        </w:rPr>
        <w:t xml:space="preserve">Revenue: </w:t>
      </w:r>
      <w:r>
        <w:rPr>
          <w:rFonts w:ascii="Times New Roman;sans-serif" w:hAnsi="Times New Roman;sans-serif"/>
          <w:b w:val="false"/>
          <w:color w:val="000000"/>
          <w:sz w:val="20"/>
        </w:rPr>
        <w:t>The majority of our revenue is generated through the following types of arrangements: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Advertising: </w:t>
      </w:r>
      <w:r>
        <w:rPr>
          <w:rFonts w:ascii="Times New Roman;sans-serif" w:hAnsi="Times New Roman;sans-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Content: </w:t>
      </w:r>
      <w:r>
        <w:rPr>
          <w:rFonts w:ascii="Times New Roman;sans-serif" w:hAnsi="Times New Roman;sans-serif"/>
          <w:b w:val="false"/>
          <w:color w:val="000000"/>
          <w:sz w:val="20"/>
        </w:rPr>
        <w:t xml:space="preserve">Includes revenue generated from creating content, including promotional content, and customer advertising (herein referred to as “branded content”). Additionally, includes revenue from feature films and content licensing. Content revenue is recognized when the content, or the related action (click or view), is delivered. </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i/>
          <w:color w:val="000000"/>
          <w:sz w:val="20"/>
        </w:rPr>
        <w:t xml:space="preserve">Commerce and other: </w:t>
      </w:r>
      <w:r>
        <w:rPr>
          <w:rFonts w:ascii="Times New Roman;sans-serif" w:hAnsi="Times New Roman;sans-serif"/>
          <w:b w:val="false"/>
          <w:color w:val="000000"/>
          <w:sz w:val="20"/>
        </w:rPr>
        <w:t>Includes affiliate marketplace revenue and licensing of intellectual property. We participate in multiple 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 Additionally, we generate other revenues from the production of live and virtual events such as ComplexCon and ComplexLand. We recognize revenue related to such events in the period in which the event occurred, as and when the services are delivered.</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Cost of revenue:</w:t>
      </w:r>
      <w:r>
        <w:rPr>
          <w:color w:val="000000"/>
        </w:rPr>
        <w:t xml:space="preserve"> </w:t>
      </w:r>
      <w:r>
        <w:rPr>
          <w:rFonts w:ascii="Times New Roman;sans-serif" w:hAnsi="Times New Roman;sans-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Web hosting and advertising serving platform costs are also included in cost of revenue.</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Sales and marketing</w:t>
      </w:r>
      <w:r>
        <w:rPr>
          <w:rFonts w:ascii="Times New Roman;sans-serif" w:hAnsi="Times New Roman;sans-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General and administrative</w:t>
      </w:r>
      <w:r>
        <w:rPr>
          <w:rFonts w:ascii="Times New Roman;sans-serif" w:hAnsi="Times New Roman;sans-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Research and development:</w:t>
      </w:r>
      <w:r>
        <w:rPr>
          <w:color w:val="000000"/>
        </w:rPr>
        <w:t xml:space="preserve"> </w:t>
      </w:r>
      <w:r>
        <w:rPr>
          <w:rFonts w:ascii="Times New Roman;sans-serif" w:hAnsi="Times New Roman;sans-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Depreciation and amortization:</w:t>
      </w:r>
      <w:r>
        <w:rPr>
          <w:color w:val="000000"/>
        </w:rPr>
        <w:t xml:space="preserve"> </w:t>
      </w:r>
      <w:r>
        <w:rPr>
          <w:rFonts w:ascii="Times New Roman;sans-serif" w:hAnsi="Times New Roman;sans-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 xml:space="preserve">Impairment expense: </w:t>
      </w:r>
      <w:r>
        <w:rPr>
          <w:rFonts w:ascii="Times New Roman;sans-serif" w:hAnsi="Times New Roman;sans-serif"/>
          <w:b w:val="false"/>
          <w:color w:val="000000"/>
          <w:sz w:val="20"/>
        </w:rPr>
        <w:t xml:space="preserve">Represents impairment charges on certain long-lived assets. Refer to Note 21 to the condensed consolidated financial statements for additional details. </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Other</w:t>
      </w:r>
      <w:r>
        <w:rPr>
          <w:color w:val="000000"/>
          <w:shd w:fill="FFFFFF" w:val="clear"/>
        </w:rPr>
        <w:t xml:space="preserve"> </w:t>
      </w:r>
      <w:r>
        <w:rPr>
          <w:rFonts w:ascii="Times New Roman;sans-serif" w:hAnsi="Times New Roman;sans-serif"/>
          <w:b/>
          <w:i/>
          <w:color w:val="000000"/>
          <w:sz w:val="20"/>
          <w:shd w:fill="FFFFFF" w:val="clear"/>
        </w:rPr>
        <w:t xml:space="preserve">expense, </w:t>
      </w:r>
      <w:r>
        <w:rPr>
          <w:rFonts w:ascii="Times New Roman;sans-serif" w:hAnsi="Times New Roman;sans-serif"/>
          <w:b/>
          <w:i/>
          <w:color w:val="000000"/>
          <w:sz w:val="20"/>
        </w:rPr>
        <w:t>net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Consists of foreign exchange gains and losses, gains and losses on investments, gains and losses on dispositions of subsidiaries, gains and losses on disposition of assets, and other miscellaneous income and expenses.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Consists of interest expense incurred on our borrowings, net of interest income on interest bearing checking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ans-serif" w:hAnsi="Times New Roman;sans-serif"/>
          <w:b/>
          <w:i/>
          <w:color w:val="000000"/>
          <w:sz w:val="20"/>
        </w:rPr>
        <w:t>Change in fair value of warrant liabilities:</w:t>
      </w:r>
      <w:r>
        <w:rPr>
          <w:color w:val="000000"/>
        </w:rPr>
        <w:t xml:space="preserve"> </w:t>
      </w:r>
      <w:r>
        <w:rPr>
          <w:rFonts w:ascii="Times New Roman;sans-serif" w:hAnsi="Times New Roman;sans-serif"/>
          <w:b w:val="false"/>
          <w:color w:val="000000"/>
          <w:sz w:val="20"/>
        </w:rPr>
        <w:t>Reflects the changes in warrant liabilities which is primarily based on the market price of our Public Warrants listed on Nasdaq under the symbol “BZFDW.” Refer to Note 5 to the condensed consolidated financial statements for additional details.</w:t>
      </w:r>
    </w:p>
    <w:p>
      <w:pPr>
        <w:pStyle w:val="TextBody"/>
        <w:bidi w:val="0"/>
        <w:spacing w:lineRule="auto" w:line="288" w:before="240" w:after="283"/>
        <w:ind w:left="0" w:right="0" w:firstLine="720"/>
        <w:jc w:val="both"/>
        <w:rPr/>
      </w:pPr>
      <w:r>
        <w:rPr>
          <w:rFonts w:ascii="Times New Roman;sans-serif" w:hAnsi="Times New Roman;sans-serif"/>
          <w:b/>
          <w:i/>
          <w:color w:val="000000"/>
          <w:sz w:val="20"/>
        </w:rPr>
        <w:t>Change in fair value of derivative liability:</w:t>
      </w:r>
      <w:r>
        <w:rPr>
          <w:color w:val="000000"/>
        </w:rPr>
        <w:t xml:space="preserve"> </w:t>
      </w:r>
      <w:r>
        <w:rPr>
          <w:rFonts w:ascii="Times New Roman;sans-serif" w:hAnsi="Times New Roman;sans-serif"/>
          <w:b w:val="false"/>
          <w:color w:val="000000"/>
          <w:sz w:val="20"/>
        </w:rPr>
        <w:t>In December 2021, we issued $150.0 million aggregate principal amount of unsecured convertible notes due 2026 (i.e., the Notes)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Income tax provision:</w:t>
      </w:r>
      <w:r>
        <w:rPr>
          <w:color w:val="000000"/>
        </w:rPr>
        <w:t xml:space="preserve"> </w:t>
      </w:r>
      <w:r>
        <w:rPr>
          <w:rFonts w:ascii="Times New Roman;sans-serif" w:hAnsi="Times New Roman;sans-serif"/>
          <w:b w:val="false"/>
          <w:color w:val="000000"/>
          <w:sz w:val="20"/>
        </w:rPr>
        <w:t>Represents federal, state, and local taxes based on income in multiple domestic and international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results for the three and nine months ended September 30, 2023 and 2022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 of operations data for each of the periods presented (in thousands):</w:t>
      </w:r>
    </w:p>
    <w:tbl>
      <w:tblPr>
        <w:tblW w:w="10205" w:type="dxa"/>
        <w:jc w:val="left"/>
        <w:tblInd w:w="0" w:type="dxa"/>
        <w:tblLayout w:type="fixed"/>
        <w:tblCellMar>
          <w:top w:w="28" w:type="dxa"/>
          <w:left w:w="28" w:type="dxa"/>
          <w:bottom w:w="28" w:type="dxa"/>
          <w:right w:w="28" w:type="dxa"/>
        </w:tblCellMar>
      </w:tblPr>
      <w:tblGrid>
        <w:gridCol w:w="1712"/>
        <w:gridCol w:w="1420"/>
        <w:gridCol w:w="1431"/>
        <w:gridCol w:w="216"/>
        <w:gridCol w:w="805"/>
        <w:gridCol w:w="112"/>
        <w:gridCol w:w="112"/>
        <w:gridCol w:w="112"/>
        <w:gridCol w:w="112"/>
        <w:gridCol w:w="216"/>
        <w:gridCol w:w="849"/>
        <w:gridCol w:w="112"/>
        <w:gridCol w:w="109"/>
        <w:gridCol w:w="109"/>
        <w:gridCol w:w="109"/>
        <w:gridCol w:w="211"/>
        <w:gridCol w:w="826"/>
        <w:gridCol w:w="109"/>
        <w:gridCol w:w="109"/>
        <w:gridCol w:w="109"/>
        <w:gridCol w:w="109"/>
        <w:gridCol w:w="211"/>
        <w:gridCol w:w="826"/>
        <w:gridCol w:w="159"/>
      </w:tblGrid>
      <w:tr>
        <w:trPr/>
        <w:tc>
          <w:tcPr>
            <w:tcW w:w="17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income taxes </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redeemable noncontrolling interest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(95,515)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 included in stock-based compensation expense are included in the condensed consolidated statements of operations as follows (in thousands):</w:t>
      </w:r>
    </w:p>
    <w:tbl>
      <w:tblPr>
        <w:tblW w:w="10205" w:type="dxa"/>
        <w:jc w:val="left"/>
        <w:tblInd w:w="0" w:type="dxa"/>
        <w:tblLayout w:type="fixed"/>
        <w:tblCellMar>
          <w:top w:w="28" w:type="dxa"/>
          <w:left w:w="28" w:type="dxa"/>
          <w:bottom w:w="28" w:type="dxa"/>
          <w:right w:w="28" w:type="dxa"/>
        </w:tblCellMar>
      </w:tblPr>
      <w:tblGrid>
        <w:gridCol w:w="1672"/>
        <w:gridCol w:w="1462"/>
        <w:gridCol w:w="1466"/>
        <w:gridCol w:w="254"/>
        <w:gridCol w:w="744"/>
        <w:gridCol w:w="131"/>
        <w:gridCol w:w="131"/>
        <w:gridCol w:w="131"/>
        <w:gridCol w:w="131"/>
        <w:gridCol w:w="254"/>
        <w:gridCol w:w="744"/>
        <w:gridCol w:w="131"/>
        <w:gridCol w:w="109"/>
        <w:gridCol w:w="109"/>
        <w:gridCol w:w="109"/>
        <w:gridCol w:w="235"/>
        <w:gridCol w:w="687"/>
        <w:gridCol w:w="121"/>
        <w:gridCol w:w="121"/>
        <w:gridCol w:w="121"/>
        <w:gridCol w:w="121"/>
        <w:gridCol w:w="235"/>
        <w:gridCol w:w="804"/>
        <w:gridCol w:w="182"/>
      </w:tblGrid>
      <w:tr>
        <w:trPr/>
        <w:tc>
          <w:tcPr>
            <w:tcW w:w="167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negative stock-based compensation expense for the nine months ended September 30, 2023 for Research and development was due to forfeitures.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The following table sets forth our condensed consolidated statement of operations data for each of the periods presented as a percentage of revenue</w:t>
      </w:r>
      <w:r>
        <w:rPr>
          <w:rFonts w:ascii="Times New Roman;sans-serif" w:hAnsi="Times New Roman;sans-serif"/>
          <w:b w:val="false"/>
          <w:color w:val="000000"/>
          <w:sz w:val="13"/>
        </w:rPr>
        <w:t>(1)</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64"/>
        <w:gridCol w:w="1484"/>
        <w:gridCol w:w="1496"/>
        <w:gridCol w:w="233"/>
        <w:gridCol w:w="233"/>
        <w:gridCol w:w="508"/>
        <w:gridCol w:w="204"/>
        <w:gridCol w:w="204"/>
        <w:gridCol w:w="204"/>
        <w:gridCol w:w="233"/>
        <w:gridCol w:w="233"/>
        <w:gridCol w:w="508"/>
        <w:gridCol w:w="109"/>
        <w:gridCol w:w="109"/>
        <w:gridCol w:w="109"/>
        <w:gridCol w:w="233"/>
        <w:gridCol w:w="233"/>
        <w:gridCol w:w="485"/>
        <w:gridCol w:w="195"/>
        <w:gridCol w:w="195"/>
        <w:gridCol w:w="195"/>
        <w:gridCol w:w="233"/>
        <w:gridCol w:w="233"/>
        <w:gridCol w:w="572"/>
      </w:tblGrid>
      <w:tr>
        <w:trPr/>
        <w:tc>
          <w:tcPr>
            <w:tcW w:w="176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redeemable noncontrolling interest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BuzzFeed, Inc.</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(1)Percentages have been rounded for presentation purposes and may differ from unrounded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as follows (in thousands):</w:t>
      </w:r>
    </w:p>
    <w:tbl>
      <w:tblPr>
        <w:tblW w:w="10031" w:type="dxa"/>
        <w:jc w:val="left"/>
        <w:tblInd w:w="0" w:type="dxa"/>
        <w:tblLayout w:type="fixed"/>
        <w:tblCellMar>
          <w:top w:w="28" w:type="dxa"/>
          <w:left w:w="28" w:type="dxa"/>
          <w:bottom w:w="28" w:type="dxa"/>
          <w:right w:w="28" w:type="dxa"/>
        </w:tblCellMar>
      </w:tblPr>
      <w:tblGrid>
        <w:gridCol w:w="651"/>
        <w:gridCol w:w="573"/>
        <w:gridCol w:w="576"/>
        <w:gridCol w:w="225"/>
        <w:gridCol w:w="770"/>
        <w:gridCol w:w="116"/>
        <w:gridCol w:w="116"/>
        <w:gridCol w:w="116"/>
        <w:gridCol w:w="116"/>
        <w:gridCol w:w="225"/>
        <w:gridCol w:w="882"/>
        <w:gridCol w:w="116"/>
        <w:gridCol w:w="109"/>
        <w:gridCol w:w="109"/>
        <w:gridCol w:w="109"/>
        <w:gridCol w:w="218"/>
        <w:gridCol w:w="218"/>
        <w:gridCol w:w="507"/>
        <w:gridCol w:w="109"/>
        <w:gridCol w:w="109"/>
        <w:gridCol w:w="109"/>
        <w:gridCol w:w="211"/>
        <w:gridCol w:w="826"/>
        <w:gridCol w:w="109"/>
        <w:gridCol w:w="109"/>
        <w:gridCol w:w="109"/>
        <w:gridCol w:w="109"/>
        <w:gridCol w:w="211"/>
        <w:gridCol w:w="826"/>
        <w:gridCol w:w="109"/>
        <w:gridCol w:w="109"/>
        <w:gridCol w:w="109"/>
        <w:gridCol w:w="109"/>
        <w:gridCol w:w="218"/>
        <w:gridCol w:w="218"/>
        <w:gridCol w:w="570"/>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Commerce and 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 decreased by $17.8 million, or 35%, for the three months ended September 30, 2023 driven by an $8.9 million, or 24%, decline in advertising revenue from products monetized on a per-impression basis, which reflects an 17% decline in the number of programmatic impressions delivered and an 7% decline in overall pricing. The remaining decline was primarily driven by a decline in advertising revenues derived from products that are not monetized on a per-impression basis.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Advertising revenue decreased by $50.1 million, or 33%, for the nine months ended September 30, 2023 driven by a $24.5 million, or 22%, decline in advertising revenue from products monetized on a per-impression basis, which reflects a 13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decline in the number of programmatic impressions delivered and a 9</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decrease in overall pricing. We expect these declines in pricing and impressions to continue in the near-term. The remaining decline was primarily driven by a decline in advertising revenues derived from products that are not monetized on a per-impression basis.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Content revenue decreased by $12.2 million, or 32%, for the three months ended September 30, 2023 driven by a decrease in the number of branded content advertisers year-over-year and a $2.4 million decline in revenue from feature films due to the timing of delivery and release revenue recognition.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Content revenue decreased by $31.6 million, or 29%, for the nine months ended September 30, 2023 driven by a decrease in consumer spending in certain client verticals, particularly those in the technology and telecommunications and retail industries, due to the broader macroeconomic environment. Additionally, a decrease in the number of branded content advertisers contributed to the year-over-year decline, as well as a $8.9 million decline in revenue from feature films due to the timing of delivery (none delivered in the current nine-month period). We anticipate the decrease in the number of branded content advertisers to continue to negatively impact our content revenues year-on-year.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Commerce and other marginally declined for the three months ended September 30, 2023, with a $0.5 million, or 3%, decrease year-over-year.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Commerce and other decreased $2.0 million, or 5%, for the nine months ended September 30, 2023, principally reflecting the comparative period including a virtual event that took place in the second quarter of 2022 which did not take place in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10205" w:type="dxa"/>
        <w:jc w:val="left"/>
        <w:tblInd w:w="0" w:type="dxa"/>
        <w:tblLayout w:type="fixed"/>
        <w:tblCellMar>
          <w:top w:w="28" w:type="dxa"/>
          <w:left w:w="28" w:type="dxa"/>
          <w:bottom w:w="28" w:type="dxa"/>
          <w:right w:w="28" w:type="dxa"/>
        </w:tblCellMar>
      </w:tblPr>
      <w:tblGrid>
        <w:gridCol w:w="665"/>
        <w:gridCol w:w="491"/>
        <w:gridCol w:w="487"/>
        <w:gridCol w:w="360"/>
        <w:gridCol w:w="361"/>
        <w:gridCol w:w="412"/>
        <w:gridCol w:w="165"/>
        <w:gridCol w:w="165"/>
        <w:gridCol w:w="165"/>
        <w:gridCol w:w="360"/>
        <w:gridCol w:w="361"/>
        <w:gridCol w:w="412"/>
        <w:gridCol w:w="109"/>
        <w:gridCol w:w="109"/>
        <w:gridCol w:w="109"/>
        <w:gridCol w:w="205"/>
        <w:gridCol w:w="205"/>
        <w:gridCol w:w="494"/>
        <w:gridCol w:w="109"/>
        <w:gridCol w:w="109"/>
        <w:gridCol w:w="109"/>
        <w:gridCol w:w="413"/>
        <w:gridCol w:w="413"/>
        <w:gridCol w:w="403"/>
        <w:gridCol w:w="161"/>
        <w:gridCol w:w="161"/>
        <w:gridCol w:w="161"/>
        <w:gridCol w:w="413"/>
        <w:gridCol w:w="413"/>
        <w:gridCol w:w="403"/>
        <w:gridCol w:w="109"/>
        <w:gridCol w:w="109"/>
        <w:gridCol w:w="109"/>
        <w:gridCol w:w="203"/>
        <w:gridCol w:w="201"/>
        <w:gridCol w:w="571"/>
      </w:tblGrid>
      <w:tr>
        <w:trPr/>
        <w:tc>
          <w:tcPr>
            <w:tcW w:w="6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137,687 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183,336 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$21.2 million, or 35%, for the three months ended September 30, 2023 driven by an $11.8 million decrease in variable costs of revenue, the majority of which was due to the decline in revenue year-over-year, and an $8.0 million decrease in compensation expense reflecting our previous cost savings actions.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$45.6 million, or 25%, for the nine months ended September 30, 2023 driven by a $21.2 million decrease in compensation expense reflecting our previous cost savings actions, a $19.2 million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costs of revenue driven by the decline in revenue year-over-year, and a $2.7 million decrease in stock-based compensation expense, partially offset by a $1.2 million increase in restructuring expenses.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641"/>
        <w:gridCol w:w="541"/>
        <w:gridCol w:w="545"/>
        <w:gridCol w:w="360"/>
        <w:gridCol w:w="361"/>
        <w:gridCol w:w="431"/>
        <w:gridCol w:w="173"/>
        <w:gridCol w:w="173"/>
        <w:gridCol w:w="173"/>
        <w:gridCol w:w="360"/>
        <w:gridCol w:w="361"/>
        <w:gridCol w:w="431"/>
        <w:gridCol w:w="109"/>
        <w:gridCol w:w="109"/>
        <w:gridCol w:w="109"/>
        <w:gridCol w:w="207"/>
        <w:gridCol w:w="207"/>
        <w:gridCol w:w="496"/>
        <w:gridCol w:w="109"/>
        <w:gridCol w:w="109"/>
        <w:gridCol w:w="109"/>
        <w:gridCol w:w="360"/>
        <w:gridCol w:w="361"/>
        <w:gridCol w:w="421"/>
        <w:gridCol w:w="168"/>
        <w:gridCol w:w="168"/>
        <w:gridCol w:w="168"/>
        <w:gridCol w:w="360"/>
        <w:gridCol w:w="361"/>
        <w:gridCol w:w="421"/>
        <w:gridCol w:w="109"/>
        <w:gridCol w:w="109"/>
        <w:gridCol w:w="109"/>
        <w:gridCol w:w="205"/>
        <w:gridCol w:w="203"/>
        <w:gridCol w:w="568"/>
      </w:tblGrid>
      <w:tr>
        <w:trPr/>
        <w:tc>
          <w:tcPr>
            <w:tcW w:w="6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16,317 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$6.0 million, or 37%, for the three months ended September 30, 2023 driven by a $4.8 million decrease in compensation and related expenses reflecting our previous cost savings actions and a $0.3 million decrease in stock-based compensation expense. </w:t>
      </w:r>
    </w:p>
    <w:p>
      <w:pPr>
        <w:pStyle w:val="TextBody"/>
        <w:bidi w:val="0"/>
        <w:spacing w:lineRule="auto" w:line="288" w:before="1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$13.1 million, or 25%, for the nine months ended September 30, 2023 driven by an $11.5 million decrease in compensation and related expenses reflecting our previous cost savings actions and a $1.5 million decrease in stock-based compensation expense, partially offset by a $2.5 million increase in restructuring expenses.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658"/>
        <w:gridCol w:w="577"/>
        <w:gridCol w:w="579"/>
        <w:gridCol w:w="360"/>
        <w:gridCol w:w="361"/>
        <w:gridCol w:w="418"/>
        <w:gridCol w:w="168"/>
        <w:gridCol w:w="168"/>
        <w:gridCol w:w="168"/>
        <w:gridCol w:w="360"/>
        <w:gridCol w:w="361"/>
        <w:gridCol w:w="418"/>
        <w:gridCol w:w="109"/>
        <w:gridCol w:w="109"/>
        <w:gridCol w:w="109"/>
        <w:gridCol w:w="206"/>
        <w:gridCol w:w="206"/>
        <w:gridCol w:w="495"/>
        <w:gridCol w:w="109"/>
        <w:gridCol w:w="109"/>
        <w:gridCol w:w="109"/>
        <w:gridCol w:w="360"/>
        <w:gridCol w:w="361"/>
        <w:gridCol w:w="409"/>
        <w:gridCol w:w="164"/>
        <w:gridCol w:w="164"/>
        <w:gridCol w:w="164"/>
        <w:gridCol w:w="360"/>
        <w:gridCol w:w="361"/>
        <w:gridCol w:w="409"/>
        <w:gridCol w:w="109"/>
        <w:gridCol w:w="109"/>
        <w:gridCol w:w="109"/>
        <w:gridCol w:w="204"/>
        <w:gridCol w:w="202"/>
        <w:gridCol w:w="563"/>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19,080 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62,438 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92,381 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by $8.2 million, or 30%, for the three months ended September 30, 2023 driven by a $2.0 million decrease in compensation expenses reflecting our previous cost savings actions, a $1.3 million decrease in stock-based compensation expense, a $1.3 million increase in sublease income largely associated with the sublease of our former corporate headquarters in the third quarter of 2022, a $0.9 million decrease in insurance, a $0.7 million decrease in professional fees, and a $0.7 million decrease in certain litigation costs that were incurred in the prior year related to the Business Combination. </w:t>
      </w:r>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by $29.9 million, or 32%, for the nine months ended September 30, 2023 driven by an $8.2 million decrease in (i) transaction-related costs, (ii) certain litigation costs, and (iii) public company readiness costs that were incurred in the prior year related to the Business Combination, a $5.5 million decrease in stock-based compensation expense, a $5.5 million increase in sublease income largely associated with the sublease of our former corporate headquarters in the third quarter of 2022, a $3.1 million decrease in insurance, a $2.8 million decrease in compensation expenses reflecting our previous cost savings actions, and a $2.2 million decrease in professional fees.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674"/>
        <w:gridCol w:w="591"/>
        <w:gridCol w:w="594"/>
        <w:gridCol w:w="308"/>
        <w:gridCol w:w="308"/>
        <w:gridCol w:w="442"/>
        <w:gridCol w:w="178"/>
        <w:gridCol w:w="178"/>
        <w:gridCol w:w="178"/>
        <w:gridCol w:w="308"/>
        <w:gridCol w:w="308"/>
        <w:gridCol w:w="442"/>
        <w:gridCol w:w="109"/>
        <w:gridCol w:w="109"/>
        <w:gridCol w:w="109"/>
        <w:gridCol w:w="208"/>
        <w:gridCol w:w="208"/>
        <w:gridCol w:w="497"/>
        <w:gridCol w:w="109"/>
        <w:gridCol w:w="109"/>
        <w:gridCol w:w="109"/>
        <w:gridCol w:w="360"/>
        <w:gridCol w:w="361"/>
        <w:gridCol w:w="431"/>
        <w:gridCol w:w="173"/>
        <w:gridCol w:w="173"/>
        <w:gridCol w:w="173"/>
        <w:gridCol w:w="360"/>
        <w:gridCol w:w="361"/>
        <w:gridCol w:w="431"/>
        <w:gridCol w:w="109"/>
        <w:gridCol w:w="109"/>
        <w:gridCol w:w="109"/>
        <w:gridCol w:w="206"/>
        <w:gridCol w:w="205"/>
        <w:gridCol w:w="568"/>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23,345 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$3.1 million, or 52%, for the three months ended September 30, 2023 principally reflecting a $2.7 million decrease in compensation expense reflecting our previous cost savings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$12.8 million, or 55%, for the nine months ended September 30, 2023 driven by an $8.5 million decrease in compensation expense reflecting our previous cost savings actions and a $4.0 million decrease in stock-based compensation expense.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712"/>
        <w:gridCol w:w="626"/>
        <w:gridCol w:w="628"/>
        <w:gridCol w:w="308"/>
        <w:gridCol w:w="308"/>
        <w:gridCol w:w="431"/>
        <w:gridCol w:w="173"/>
        <w:gridCol w:w="173"/>
        <w:gridCol w:w="173"/>
        <w:gridCol w:w="308"/>
        <w:gridCol w:w="308"/>
        <w:gridCol w:w="431"/>
        <w:gridCol w:w="109"/>
        <w:gridCol w:w="109"/>
        <w:gridCol w:w="109"/>
        <w:gridCol w:w="207"/>
        <w:gridCol w:w="207"/>
        <w:gridCol w:w="496"/>
        <w:gridCol w:w="109"/>
        <w:gridCol w:w="109"/>
        <w:gridCol w:w="109"/>
        <w:gridCol w:w="360"/>
        <w:gridCol w:w="361"/>
        <w:gridCol w:w="420"/>
        <w:gridCol w:w="168"/>
        <w:gridCol w:w="168"/>
        <w:gridCol w:w="168"/>
        <w:gridCol w:w="360"/>
        <w:gridCol w:w="361"/>
        <w:gridCol w:w="420"/>
        <w:gridCol w:w="109"/>
        <w:gridCol w:w="109"/>
        <w:gridCol w:w="109"/>
        <w:gridCol w:w="191"/>
        <w:gridCol w:w="191"/>
        <w:gridCol w:w="567"/>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depreciation and amortization expenses decreased by $1.1 million, or 12%, and a $1.8 million, or 7%, respectively.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Impairment expense:</w:t>
      </w:r>
    </w:p>
    <w:tbl>
      <w:tblPr>
        <w:tblW w:w="10205" w:type="dxa"/>
        <w:jc w:val="left"/>
        <w:tblInd w:w="0" w:type="dxa"/>
        <w:tblLayout w:type="fixed"/>
        <w:tblCellMar>
          <w:top w:w="28" w:type="dxa"/>
          <w:left w:w="28" w:type="dxa"/>
          <w:bottom w:w="28" w:type="dxa"/>
          <w:right w:w="28" w:type="dxa"/>
        </w:tblCellMar>
      </w:tblPr>
      <w:tblGrid>
        <w:gridCol w:w="694"/>
        <w:gridCol w:w="609"/>
        <w:gridCol w:w="612"/>
        <w:gridCol w:w="224"/>
        <w:gridCol w:w="211"/>
        <w:gridCol w:w="469"/>
        <w:gridCol w:w="188"/>
        <w:gridCol w:w="188"/>
        <w:gridCol w:w="188"/>
        <w:gridCol w:w="308"/>
        <w:gridCol w:w="308"/>
        <w:gridCol w:w="469"/>
        <w:gridCol w:w="109"/>
        <w:gridCol w:w="109"/>
        <w:gridCol w:w="109"/>
        <w:gridCol w:w="260"/>
        <w:gridCol w:w="261"/>
        <w:gridCol w:w="568"/>
        <w:gridCol w:w="109"/>
        <w:gridCol w:w="109"/>
        <w:gridCol w:w="109"/>
        <w:gridCol w:w="216"/>
        <w:gridCol w:w="208"/>
        <w:gridCol w:w="457"/>
        <w:gridCol w:w="183"/>
        <w:gridCol w:w="183"/>
        <w:gridCol w:w="183"/>
        <w:gridCol w:w="308"/>
        <w:gridCol w:w="308"/>
        <w:gridCol w:w="457"/>
        <w:gridCol w:w="109"/>
        <w:gridCol w:w="109"/>
        <w:gridCol w:w="109"/>
        <w:gridCol w:w="260"/>
        <w:gridCol w:w="261"/>
        <w:gridCol w:w="643"/>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 Change </w:t>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expense</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non-cash impairment expense of $2.2 million during the three months ended September 30, 2022, with no comparable loss in the current-year period. Of the non-cash impairment charge, $1.4 million was allocated to right-of-use-assets and the remaining $0.8 million was allocated to leasehold improvements. Refer to Note 21 to the condensed consolidated financial statements for additional details.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 net:</w:t>
      </w:r>
    </w:p>
    <w:tbl>
      <w:tblPr>
        <w:tblW w:w="10205" w:type="dxa"/>
        <w:jc w:val="left"/>
        <w:tblInd w:w="0" w:type="dxa"/>
        <w:tblLayout w:type="fixed"/>
        <w:tblCellMar>
          <w:top w:w="28" w:type="dxa"/>
          <w:left w:w="28" w:type="dxa"/>
          <w:bottom w:w="28" w:type="dxa"/>
          <w:right w:w="28" w:type="dxa"/>
        </w:tblCellMar>
      </w:tblPr>
      <w:tblGrid>
        <w:gridCol w:w="698"/>
        <w:gridCol w:w="556"/>
        <w:gridCol w:w="558"/>
        <w:gridCol w:w="333"/>
        <w:gridCol w:w="334"/>
        <w:gridCol w:w="450"/>
        <w:gridCol w:w="181"/>
        <w:gridCol w:w="181"/>
        <w:gridCol w:w="181"/>
        <w:gridCol w:w="333"/>
        <w:gridCol w:w="334"/>
        <w:gridCol w:w="450"/>
        <w:gridCol w:w="109"/>
        <w:gridCol w:w="109"/>
        <w:gridCol w:w="109"/>
        <w:gridCol w:w="209"/>
        <w:gridCol w:w="209"/>
        <w:gridCol w:w="498"/>
        <w:gridCol w:w="109"/>
        <w:gridCol w:w="109"/>
        <w:gridCol w:w="109"/>
        <w:gridCol w:w="333"/>
        <w:gridCol w:w="334"/>
        <w:gridCol w:w="438"/>
        <w:gridCol w:w="176"/>
        <w:gridCol w:w="176"/>
        <w:gridCol w:w="176"/>
        <w:gridCol w:w="333"/>
        <w:gridCol w:w="334"/>
        <w:gridCol w:w="438"/>
        <w:gridCol w:w="109"/>
        <w:gridCol w:w="109"/>
        <w:gridCol w:w="109"/>
        <w:gridCol w:w="207"/>
        <w:gridCol w:w="206"/>
        <w:gridCol w:w="568"/>
      </w:tblGrid>
      <w:tr>
        <w:trPr/>
        <w:tc>
          <w:tcPr>
            <w:tcW w:w="69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Other expense, net decreased by $1.4 million, or 53%, for the three months ended September 30, 2023 driven by a $1.8 million decrease in exchange loss (primarily unrealized) as the impact of foreign exchange rate fluctuations stabilized as compared to the year-ago period, partially offset by the comparison against a $0.5 million gain on the sale of an asset, with no comparable gain in the current three-month period. </w:t>
      </w:r>
    </w:p>
    <w:p>
      <w:pPr>
        <w:pStyle w:val="TextBody"/>
        <w:bidi w:val="0"/>
        <w:spacing w:lineRule="auto" w:line="288" w:before="140" w:after="283"/>
        <w:ind w:left="0" w:right="0" w:firstLine="720"/>
        <w:jc w:val="both"/>
        <w:rPr/>
      </w:pPr>
      <w:r>
        <w:rPr>
          <w:rFonts w:ascii="Times New Roman;sans-serif" w:hAnsi="Times New Roman;sans-serif"/>
          <w:b w:val="false"/>
          <w:color w:val="000000"/>
          <w:sz w:val="20"/>
        </w:rPr>
        <w:t xml:space="preserve">Other expense, net decreased by </w:t>
      </w:r>
      <w:r>
        <w:rPr>
          <w:rFonts w:ascii="Times New Roman;sans-serif" w:hAnsi="Times New Roman;sans-serif"/>
          <w:b w:val="false"/>
          <w:color w:val="000000"/>
          <w:sz w:val="20"/>
          <w:shd w:fill="FFFFFF" w:val="clear"/>
        </w:rPr>
        <w:t xml:space="preserve">$1.0 million, or 18%, </w:t>
      </w:r>
      <w:r>
        <w:rPr>
          <w:rFonts w:ascii="Times New Roman;sans-serif" w:hAnsi="Times New Roman;sans-serif"/>
          <w:b w:val="false"/>
          <w:color w:val="000000"/>
          <w:sz w:val="20"/>
        </w:rPr>
        <w:t xml:space="preserve">for the nine months ended September 30, 2023 driven by a $6.2 million decrease in exchange loss (primarily unrealized) </w:t>
      </w:r>
      <w:r>
        <w:rPr>
          <w:rFonts w:ascii="Times New Roman;sans-serif" w:hAnsi="Times New Roman;sans-serif"/>
          <w:b w:val="false"/>
          <w:color w:val="000000"/>
          <w:sz w:val="20"/>
          <w:shd w:fill="FFFFFF" w:val="clear"/>
        </w:rPr>
        <w:t>as the impact of foreign exchange rate fluctuations stabilized as compared to the year-ago period</w:t>
      </w:r>
      <w:r>
        <w:rPr>
          <w:rFonts w:ascii="Times New Roman;sans-serif" w:hAnsi="Times New Roman;sans-serif"/>
          <w:b w:val="false"/>
          <w:color w:val="000000"/>
          <w:sz w:val="20"/>
        </w:rPr>
        <w:t>, partially offset by a $4.8 million change in investment (principally consisting of a $3.5 million loss on investment during the nine months ended September 30, 2023 and a $1.3 million unrealized gain on investment during the nine months ended September 30, 2022). Refer to Note 5 to the condensed consolidated financial statements for additional information surrounding the loss on investment recorded in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10205" w:type="dxa"/>
        <w:jc w:val="left"/>
        <w:tblInd w:w="0" w:type="dxa"/>
        <w:tblLayout w:type="fixed"/>
        <w:tblCellMar>
          <w:top w:w="28" w:type="dxa"/>
          <w:left w:w="28" w:type="dxa"/>
          <w:bottom w:w="28" w:type="dxa"/>
          <w:right w:w="28" w:type="dxa"/>
        </w:tblCellMar>
      </w:tblPr>
      <w:tblGrid>
        <w:gridCol w:w="682"/>
        <w:gridCol w:w="532"/>
        <w:gridCol w:w="535"/>
        <w:gridCol w:w="331"/>
        <w:gridCol w:w="333"/>
        <w:gridCol w:w="436"/>
        <w:gridCol w:w="175"/>
        <w:gridCol w:w="175"/>
        <w:gridCol w:w="175"/>
        <w:gridCol w:w="331"/>
        <w:gridCol w:w="333"/>
        <w:gridCol w:w="436"/>
        <w:gridCol w:w="109"/>
        <w:gridCol w:w="109"/>
        <w:gridCol w:w="109"/>
        <w:gridCol w:w="199"/>
        <w:gridCol w:w="199"/>
        <w:gridCol w:w="496"/>
        <w:gridCol w:w="109"/>
        <w:gridCol w:w="109"/>
        <w:gridCol w:w="109"/>
        <w:gridCol w:w="385"/>
        <w:gridCol w:w="385"/>
        <w:gridCol w:w="425"/>
        <w:gridCol w:w="170"/>
        <w:gridCol w:w="170"/>
        <w:gridCol w:w="170"/>
        <w:gridCol w:w="385"/>
        <w:gridCol w:w="385"/>
        <w:gridCol w:w="425"/>
        <w:gridCol w:w="109"/>
        <w:gridCol w:w="109"/>
        <w:gridCol w:w="109"/>
        <w:gridCol w:w="191"/>
        <w:gridCol w:w="191"/>
        <w:gridCol w:w="574"/>
      </w:tblGrid>
      <w:tr>
        <w:trPr/>
        <w:tc>
          <w:tcPr>
            <w:tcW w:w="68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by $0.7 million, or 14%, for the three months ended September 30, 2023 primarily driven by increased interest rates year-over-year.</w:t>
      </w:r>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by $2.0 million, or 13%, for the nine months ended September 30, 2023 driven by increased interest rates year-over-year, coupled with a larger amount outstanding under the Revolving Credit Facility.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liabilities:</w:t>
      </w:r>
    </w:p>
    <w:tbl>
      <w:tblPr>
        <w:tblW w:w="10205" w:type="dxa"/>
        <w:jc w:val="left"/>
        <w:tblInd w:w="0" w:type="dxa"/>
        <w:tblLayout w:type="fixed"/>
        <w:tblCellMar>
          <w:top w:w="28" w:type="dxa"/>
          <w:left w:w="28" w:type="dxa"/>
          <w:bottom w:w="28" w:type="dxa"/>
          <w:right w:w="28" w:type="dxa"/>
        </w:tblCellMar>
      </w:tblPr>
      <w:tblGrid>
        <w:gridCol w:w="891"/>
        <w:gridCol w:w="744"/>
        <w:gridCol w:w="747"/>
        <w:gridCol w:w="233"/>
        <w:gridCol w:w="233"/>
        <w:gridCol w:w="432"/>
        <w:gridCol w:w="173"/>
        <w:gridCol w:w="173"/>
        <w:gridCol w:w="173"/>
        <w:gridCol w:w="256"/>
        <w:gridCol w:w="257"/>
        <w:gridCol w:w="432"/>
        <w:gridCol w:w="109"/>
        <w:gridCol w:w="109"/>
        <w:gridCol w:w="109"/>
        <w:gridCol w:w="256"/>
        <w:gridCol w:w="257"/>
        <w:gridCol w:w="496"/>
        <w:gridCol w:w="109"/>
        <w:gridCol w:w="109"/>
        <w:gridCol w:w="109"/>
        <w:gridCol w:w="218"/>
        <w:gridCol w:w="204"/>
        <w:gridCol w:w="422"/>
        <w:gridCol w:w="169"/>
        <w:gridCol w:w="169"/>
        <w:gridCol w:w="169"/>
        <w:gridCol w:w="308"/>
        <w:gridCol w:w="308"/>
        <w:gridCol w:w="422"/>
        <w:gridCol w:w="109"/>
        <w:gridCol w:w="109"/>
        <w:gridCol w:w="109"/>
        <w:gridCol w:w="256"/>
        <w:gridCol w:w="257"/>
        <w:gridCol w:w="569"/>
      </w:tblGrid>
      <w:tr>
        <w:trPr/>
        <w:tc>
          <w:tcPr>
            <w:tcW w:w="89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we recorded a gain of $0.1 million and a loss of $0.1 million, respectively, on the change in fair value of warrant liabilities.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 liability:</w:t>
      </w:r>
    </w:p>
    <w:tbl>
      <w:tblPr>
        <w:tblW w:w="10205" w:type="dxa"/>
        <w:jc w:val="left"/>
        <w:tblInd w:w="0" w:type="dxa"/>
        <w:tblLayout w:type="fixed"/>
        <w:tblCellMar>
          <w:top w:w="28" w:type="dxa"/>
          <w:left w:w="28" w:type="dxa"/>
          <w:bottom w:w="28" w:type="dxa"/>
          <w:right w:w="28" w:type="dxa"/>
        </w:tblCellMar>
      </w:tblPr>
      <w:tblGrid>
        <w:gridCol w:w="897"/>
        <w:gridCol w:w="767"/>
        <w:gridCol w:w="771"/>
        <w:gridCol w:w="224"/>
        <w:gridCol w:w="205"/>
        <w:gridCol w:w="431"/>
        <w:gridCol w:w="173"/>
        <w:gridCol w:w="173"/>
        <w:gridCol w:w="173"/>
        <w:gridCol w:w="233"/>
        <w:gridCol w:w="233"/>
        <w:gridCol w:w="431"/>
        <w:gridCol w:w="109"/>
        <w:gridCol w:w="109"/>
        <w:gridCol w:w="109"/>
        <w:gridCol w:w="225"/>
        <w:gridCol w:w="225"/>
        <w:gridCol w:w="565"/>
        <w:gridCol w:w="109"/>
        <w:gridCol w:w="109"/>
        <w:gridCol w:w="109"/>
        <w:gridCol w:w="233"/>
        <w:gridCol w:w="233"/>
        <w:gridCol w:w="421"/>
        <w:gridCol w:w="169"/>
        <w:gridCol w:w="169"/>
        <w:gridCol w:w="169"/>
        <w:gridCol w:w="308"/>
        <w:gridCol w:w="308"/>
        <w:gridCol w:w="421"/>
        <w:gridCol w:w="109"/>
        <w:gridCol w:w="109"/>
        <w:gridCol w:w="109"/>
        <w:gridCol w:w="216"/>
        <w:gridCol w:w="216"/>
        <w:gridCol w:w="635"/>
      </w:tblGrid>
      <w:tr>
        <w:trPr/>
        <w:tc>
          <w:tcPr>
            <w:tcW w:w="89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 Change </w:t>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we recorded a gain of $nil and $0.2 million, respectively, on the change in fair value of the derivative liability.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10205" w:type="dxa"/>
        <w:jc w:val="left"/>
        <w:tblInd w:w="0" w:type="dxa"/>
        <w:tblLayout w:type="fixed"/>
        <w:tblCellMar>
          <w:top w:w="28" w:type="dxa"/>
          <w:left w:w="28" w:type="dxa"/>
          <w:bottom w:w="28" w:type="dxa"/>
          <w:right w:w="28" w:type="dxa"/>
        </w:tblCellMar>
      </w:tblPr>
      <w:tblGrid>
        <w:gridCol w:w="765"/>
        <w:gridCol w:w="659"/>
        <w:gridCol w:w="661"/>
        <w:gridCol w:w="224"/>
        <w:gridCol w:w="217"/>
        <w:gridCol w:w="510"/>
        <w:gridCol w:w="205"/>
        <w:gridCol w:w="205"/>
        <w:gridCol w:w="205"/>
        <w:gridCol w:w="233"/>
        <w:gridCol w:w="233"/>
        <w:gridCol w:w="510"/>
        <w:gridCol w:w="109"/>
        <w:gridCol w:w="109"/>
        <w:gridCol w:w="109"/>
        <w:gridCol w:w="214"/>
        <w:gridCol w:w="214"/>
        <w:gridCol w:w="503"/>
        <w:gridCol w:w="109"/>
        <w:gridCol w:w="109"/>
        <w:gridCol w:w="109"/>
        <w:gridCol w:w="233"/>
        <w:gridCol w:w="233"/>
        <w:gridCol w:w="495"/>
        <w:gridCol w:w="198"/>
        <w:gridCol w:w="198"/>
        <w:gridCol w:w="198"/>
        <w:gridCol w:w="308"/>
        <w:gridCol w:w="308"/>
        <w:gridCol w:w="495"/>
        <w:gridCol w:w="109"/>
        <w:gridCol w:w="109"/>
        <w:gridCol w:w="109"/>
        <w:gridCol w:w="213"/>
        <w:gridCol w:w="212"/>
        <w:gridCol w:w="575"/>
      </w:tblGrid>
      <w:tr>
        <w:trPr/>
        <w:tc>
          <w:tcPr>
            <w:tcW w:w="7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Change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w:t>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 recorded an income tax provision of $0.1 and $0.2 million, respectively, related to federal, state, and foreign taxes.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2022, the Company recorded an income tax provision of $0.9 and $3.0 million, respectively, related to federal, state, and foreign taxes. The Company’s effective tax rate differed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Additionally, the Company recorded a $0.9 million discrete tax expense during the three and nine months ended September 30, 2022, primarily related to changes to the Company’s valuation allowance related to Complex Networks’ measurement period adjustments as a result of finalization of Complex Networks’ pre-acquisition tax filings.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the Company’s income tax provision and net income in the period in which such determination is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and represents a key metric used by management and the Board of Directors to measure the operational strength and performance of our business, to establish budgets, and to develop operational goals for managing our business. We define Adjusted EBITDA as net loss, excluding the impact of net (loss) income attributable to noncontrolling interests, income tax provision, interest expense, net, other expense, net, depreciation and amortization, stock-based compensation, change in fair value of warrant liabilities, change in fair value of derivative liability, restructuring costs, impairment expense, transaction-related costs, certain litigation costs, public company readiness costs, and other non-cash and non-recurring items that management believes are not indicative of ongoing operations.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a substitute for loss from operations, net loss, or net loss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Reconciliation from Net loss to Adjusted EBITDA</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consolidated net loss to Adjusted EBITDA for the periods presented:</w:t>
      </w:r>
    </w:p>
    <w:tbl>
      <w:tblPr>
        <w:tblW w:w="9199" w:type="dxa"/>
        <w:jc w:val="left"/>
        <w:tblInd w:w="0" w:type="dxa"/>
        <w:tblLayout w:type="fixed"/>
        <w:tblCellMar>
          <w:top w:w="28" w:type="dxa"/>
          <w:left w:w="28" w:type="dxa"/>
          <w:bottom w:w="28" w:type="dxa"/>
          <w:right w:w="28" w:type="dxa"/>
        </w:tblCellMar>
      </w:tblPr>
      <w:tblGrid>
        <w:gridCol w:w="1286"/>
        <w:gridCol w:w="1123"/>
        <w:gridCol w:w="1145"/>
        <w:gridCol w:w="221"/>
        <w:gridCol w:w="835"/>
        <w:gridCol w:w="114"/>
        <w:gridCol w:w="114"/>
        <w:gridCol w:w="114"/>
        <w:gridCol w:w="114"/>
        <w:gridCol w:w="221"/>
        <w:gridCol w:w="835"/>
        <w:gridCol w:w="114"/>
        <w:gridCol w:w="109"/>
        <w:gridCol w:w="109"/>
        <w:gridCol w:w="109"/>
        <w:gridCol w:w="213"/>
        <w:gridCol w:w="807"/>
        <w:gridCol w:w="110"/>
        <w:gridCol w:w="110"/>
        <w:gridCol w:w="110"/>
        <w:gridCol w:w="110"/>
        <w:gridCol w:w="213"/>
        <w:gridCol w:w="807"/>
        <w:gridCol w:w="156"/>
      </w:tblGrid>
      <w:tr>
        <w:trPr/>
        <w:tc>
          <w:tcPr>
            <w:tcW w:w="12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(78,029)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w:t>
            </w:r>
            <w:r>
              <w:rPr>
                <w:rFonts w:ascii="Times New Roman;sans-serif" w:hAnsi="Times New Roman;sans-serif"/>
                <w:b w:val="false"/>
                <w:color w:val="000000"/>
                <w:sz w:val="13"/>
              </w:rPr>
              <w:t>(1)</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Impairment expense</w:t>
            </w:r>
            <w:r>
              <w:rPr>
                <w:rFonts w:ascii="Times New Roman;sans-serif" w:hAnsi="Times New Roman;sans-serif"/>
                <w:b w:val="false"/>
                <w:color w:val="000000"/>
                <w:sz w:val="13"/>
              </w:rPr>
              <w:t>(2)</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Transaction-related costs</w:t>
            </w:r>
            <w:r>
              <w:rPr>
                <w:rFonts w:ascii="Times New Roman;sans-serif" w:hAnsi="Times New Roman;sans-serif"/>
                <w:b w:val="false"/>
                <w:color w:val="000000"/>
                <w:sz w:val="13"/>
              </w:rPr>
              <w:t>(3)</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Litigation costs</w:t>
            </w:r>
            <w:r>
              <w:rPr>
                <w:rFonts w:ascii="Times New Roman;sans-serif" w:hAnsi="Times New Roman;sans-serif"/>
                <w:b w:val="false"/>
                <w:color w:val="000000"/>
                <w:sz w:val="13"/>
              </w:rPr>
              <w:t>(4)</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Public company readiness costs</w:t>
            </w:r>
            <w:r>
              <w:rPr>
                <w:rFonts w:ascii="Times New Roman;sans-serif" w:hAnsi="Times New Roman;sans-serif"/>
                <w:b w:val="false"/>
                <w:color w:val="000000"/>
                <w:sz w:val="13"/>
              </w:rPr>
              <w:t>(5)</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during the nine months ended September 30, 2023 and 2022. </w:t>
      </w:r>
      <w:r>
        <w:rPr>
          <w:rFonts w:ascii="Times New Roman;sans-serif" w:hAnsi="Times New Roman;sans-serif"/>
          <w:b w:val="false"/>
          <w:color w:val="231F20"/>
          <w:sz w:val="20"/>
        </w:rPr>
        <w:t>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(2)Reflects a non-cash impairment expense recorded during the three months ended September 30, 2022 associated with certain long-lived assets of our former corporate headquarters which was fully subleased in the third quarter of 2022. Refer to Note 21 to the condensed consolidated financial statements for additional details. </w:t>
      </w:r>
    </w:p>
    <w:p>
      <w:pPr>
        <w:pStyle w:val="TextBody"/>
        <w:bidi w:val="0"/>
        <w:spacing w:lineRule="auto" w:line="288" w:before="240" w:after="283"/>
        <w:ind w:left="0" w:right="0" w:hanging="360"/>
        <w:jc w:val="both"/>
        <w:rPr/>
      </w:pPr>
      <w:r>
        <w:rPr>
          <w:rFonts w:ascii="Times New Roman;sans-serif" w:hAnsi="Times New Roman;sans-serif"/>
          <w:b w:val="false"/>
          <w:color w:val="231F20"/>
          <w:sz w:val="20"/>
        </w:rPr>
        <w:t>(3)</w:t>
      </w:r>
      <w:r>
        <w:rPr>
          <w:rFonts w:ascii="Times New Roman;sans-serif" w:hAnsi="Times New Roman;sans-serif"/>
          <w:b w:val="false"/>
          <w:color w:val="000000"/>
          <w:sz w:val="20"/>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(4)Reflects costs related to litigation that are outside the ordinary course of our business. We believe it is useful to exclude such charges because we do not consider such amounts to be part of the ongoing operations of our business and because of the singular nature of the claims underlying the matter.</w:t>
      </w:r>
    </w:p>
    <w:p>
      <w:pPr>
        <w:pStyle w:val="TextBody"/>
        <w:bidi w:val="0"/>
        <w:spacing w:lineRule="auto" w:line="288" w:before="240" w:after="283"/>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231F20"/>
          <w:sz w:val="20"/>
        </w:rPr>
        <w:t xml:space="preserve">Reflects one-time initial set-up costs associated with the establishment of our public company structure and processes.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digital media company, we are subject to certain inherent risks and uncertainties associated with the development of our business. To date, substantially all of our efforts have been devoted to the growth of our owned and operated properties and portfolio of brands. This includes our proprietary technology infrastructure, advertising solutions, content creation tools, and more. We have invested in the recruitment of key management and technical staff and have acquired certain businesses. These investments have historically been funded by raising outside capital, and as a result of these efforts, we have generally incurred significant losses and used net cash outflows from operations since our inception— and we may continue to incur such losses and use net cash outflows for the foreseeable future until such time we reach a scale of profitability without needing to rely on funding from outside capital to sustain our operations.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execute our growth strategy, we have historically relied on outside capital through the issuance of equity, debt, and borrowings under financing arrangements (“outside capital”). We may continue to rely on outside capital for the foreseeable future. While we believe we will eventually reach a scale of profitability to sustain our operations, there can be no assurance we will be able to achieve such profitability or generate consistent positive cash flows from operations, or do so in a manner that does not necessitate our continued reliance on outside capital.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accompanying consolidated financial statements were issued (“issuance date”), the presence of the following risks and uncertainties associated with our financial condition may adversely affect our ability to sustain our operations over the next 12 months beyond the issuance date.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Since our inception, we have generally incurred significant losses and used net cash flows from operations to grow our owned and operated properties and portfolio of brands. During the nine months ended September 30, 2023, we incurred a net loss of $78.0 million and used cash flow from operations of $2.4 million. Additionally, as of September 30, 2023, we had unrestricted cash and cash equivalents of $42.5 million to fund our operations, </w:t>
      </w:r>
      <w:r>
        <w:rPr>
          <w:rFonts w:ascii="Times New Roman;sans-serif" w:hAnsi="Times New Roman;sans-serif"/>
          <w:b w:val="false"/>
          <w:color w:val="000000"/>
          <w:sz w:val="20"/>
          <w:shd w:fill="FFFFFF" w:val="clear"/>
        </w:rPr>
        <w:t>$0.7 million</w:t>
      </w:r>
      <w:r>
        <w:rPr>
          <w:color w:val="000000"/>
        </w:rPr>
        <w:t xml:space="preserve"> </w:t>
      </w:r>
      <w:r>
        <w:rPr>
          <w:rFonts w:ascii="Times New Roman;sans-serif" w:hAnsi="Times New Roman;sans-serif"/>
          <w:b w:val="false"/>
          <w:color w:val="000000"/>
          <w:sz w:val="20"/>
        </w:rPr>
        <w:t xml:space="preserve">available under our $50.0 million revolving loan and standby letter of credit facility agreement (i.e., the “Revolving Credit Facility”) (refer to Note 9 to the condensed consolidated financial statements for additional details), and an accumulated deficit of $600.7 million.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We expect to continue to be impacted by the challenging U.S. and global macroeconomic environment, which could adversely impact our ability to grow revenue over the next 12 months beyond the issuance date. For example, we have experienced negative impacts on both traffic and consumption patterns.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continue to be affected by our ongoing efforts to integrate our combined brand portfolio and sales execution against the combined brand portfolio, which may result in the incurrence of unexpected expenses or the inability to realize anticipated benefits and synergies over the next 12 months beyond the issuance date.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 xml:space="preserve">We are required to remain in compliance with certain covenants required by the Revolving Credit Facility which, among others, require us to maintain a minimum of $25.0 million of unrestricted cash at all times and limit,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prescribed circumstances, our ability to incur additional indebtedness, pay dividends, hold unpermitted investments, or make material changes to the business. While we were in compliance with the financial covenants under the Revolving Credit Facility as of September 30, 2023, and we expect to remain in compliance throughout 12 months beyond the issuance date, we may be unable to remain in compliance with one or more of these covenants if we are unable to generate net cash inflows from operations or, if necessary, secure additional outside capital (including through our at-the-market-offering described in Note 11 to the condensed consolidated financial statements). In the event we are unable to remain in compliance with one or more of the aforementioned covenants, and we are unable to secure a waiver or forbearance, the lender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risks and uncertainties described above, we continue to carefully evaluate our liquidity position. We recognize the significant challenge of maintaining sufficient liquidity to sustain our operations or remain in compliance with one or more of the covenants required by the Revolving Credit Facility for the next 12 months beyond the issuance date. However, notwithstanding our liquidity position as of the issuance date, and while it is difficult to predict our future liquidity requirements with certainty, we currently expect we will be able to generate sufficient liquidity to fund our operations over the next 12 months beyond the issuance date.</w:t>
      </w:r>
    </w:p>
    <w:p>
      <w:pPr>
        <w:pStyle w:val="TextBody"/>
        <w:bidi w:val="0"/>
        <w:spacing w:lineRule="auto" w:line="276" w:before="240" w:after="283"/>
        <w:ind w:left="0" w:right="0" w:firstLine="720"/>
        <w:jc w:val="both"/>
        <w:rPr/>
      </w:pPr>
      <w:r>
        <w:rPr>
          <w:rFonts w:ascii="Times New Roman;sans-serif" w:hAnsi="Times New Roman;sans-serif"/>
          <w:b w:val="false"/>
          <w:color w:val="000000"/>
          <w:sz w:val="20"/>
        </w:rPr>
        <w:t>In response to the risks and uncertainties described above, we may plan to secure additional outside capital over the next 12 months beyond the issuance date. While we have historically been successful in our ability to secure outside capital, as of the issuance date, we had no firm commitments of outside capital other than our at-the-market-offering, which is subject to the conditions contained in the At-The-Market Offering agreement dated June 20, 2023 with Craig-Hallum Capital Group LLC (see below for additional details). We can provide no assurance we will be able to continue to secure outside capital in the future or do so on terms that are acceptable to us, which could be due to future market conditions which are outside of our control. Furthermore, we also plan to continue to closely monitor our cash flow forecast and, if necessary, we will implement certain incremental cost savings to preserve our liquidity beyond those that were implemented through the restructuring activities that occurred during fiscal year 2022 and 2023 (refer to Note 14 to the condensed consolidated financial statements for additional details) or through the reduction of our real estate footprint. While we currently expect we will be able to generate sufficient liquidity to fund our operations for the next 12 months beyond the issuance date, we can provide no assurance we will successfully generate such liquidity, or if necessary, secure additional outside capital (including through our at-the-market-offering described below) or implement incremental cost savings.</w:t>
      </w:r>
      <w:r>
        <w:rPr>
          <w:color w:val="000000"/>
        </w:rPr>
        <w:t xml:space="preserve"> </w:t>
      </w:r>
    </w:p>
    <w:p>
      <w:pPr>
        <w:pStyle w:val="TextBody"/>
        <w:bidi w:val="0"/>
        <w:spacing w:lineRule="auto" w:line="26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an ongoing basis, we evaluate and consider strategic changes to our operations, including acquisitions, asset divestitures, restructuring or discontinuance of unprofitable lines of business, as well as equity and debt financing alternatives that we believe may enhance stockholder value.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30, 2020, we entered into a three-year $50.0 million revolving loan and letter of credit facility (i.e.,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$15.5 million of standby letters of credit were issued during the three months ended March 31, 2021 in favor of certain of the Company’s landlords. The Revolving Credit Facility was amended and restated in connection with the closing of the Business Combination to, among other things, add the Company and certain other entities as guarantors. The Revolving Credit Facility was further amended and restated on December 15, 2022 to, among other things, extend the maturity date until December 30, 2025, replace the London Inter-Bank Offered Rate (LIBOR) rate with the Secured Overnight Financing Rate (“SOFR”) rate, and provide for an early termination fee of between 0.5% and 2% of the maximum facility loan amount. We incurred $0.2 million of debt issuance fees associated with the December 15, 2022 amendment. On May 10, 2023, the parties to the Revolving Credit Facility entered into a joinder agreement adding one of our Canadian subsidiaries as a borrower under the Revolving Credit Facility, granting the lenders under the Revolving Credit Facility a lien on that subsidiary’s collateral, and including that subsidiary's receivables in the calculation of the borrowing base under the Revolving Credit Facility. The Revolving Credit Facility agreement was further amended on each of June 29, 2023 and September 26, 2023 in a second and third amendment, respectively. As a result of these second and third amendments, the Revolving Credit Facility was amended to provide for, among other things, (i) permitted overadvances during the period June 29, 2023 through August 31, 2023 and September 26,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December 31, 2023; (ii) permitted overadvances of up to $7.4 million; (iii) an increase in the applicable margin only during the overadvance periods (ranging from 4.5% to 5% depending on the utilization of the facility, with the range reverting to 3.75% to 4.25% starting January 1, 2024); and (iv) a change in the definition of the term “SOFR Index.” We incurred $0.2 million of debt issuance fees associated with the June 29, 2023 amendment and $0.1 million of debt issuance fees associated with the September 26, 2023 amendment.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includes covenants that, among other things, require us to maintain at least $25.0 million of unrestricted cash at all times and limit, under prescribed circumstances, our ability to incur additional indebtedness, pay dividends, hold unpermitted investments, or make material changes to the business. We were in compliance with the financial covenants under such facility as of September 30, 2023.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bear interest at the greater of a floor rate of 0.75% or the sum of the rate per annum for the forward-looking term rate for SOFR for a term of one (1) month, plus a margin, which, during the overadvance period ending December 31, 2023, ranges from 4.5% to 5% depending on the utilization of the facility, with the range reverting to 3.75% to 4.25% on January 1, 2024, depending on the level of the Company’s utilization of the facility (the implied interest rate was approximately 9% at September 30, 2023), and subject to a monthly minimum utilization of $15.0 million. The facility also includes an unused commitment fee of 0.375%.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is secured by a first priority security interest on the Company’s and the other borrowers’ and guarantors’ cash, accounts receivable, books and records, and related assets.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outstanding borrowings of $33.8 million, outstanding letters of credit of $15.5 million, and remaining borrowing capacity of $0.7 million.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Convertible Notes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in connection with the entry into the merger agreement pursuant to which Business Combination was consummated, we entered into subscription agreements with certain investors to sell $150.0 million aggregate principal amount of unsecured convertible notes due 2026 (i.e., the Notes). In connection with the closing of the Business Combination, we issued, and those investors purchased, the Notes. The Notes bear interest at a rate of 8.50% per annum, payable semi-annually, are convertible into approximately 12,000,000 shares of our Class A common stock (or, our election, a combination of cash and our Class A common stock), at an initial conversion price of $12.50, and mature on December 3, 2026.</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after the one year anniversary, and prior to the three-year anniversary, of the issuance of the Notes (i.e., between December 3, 2022 and December 3, 2024), we will be obligated to pay an amount in cash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a Note will have the right to cause us to repurchase for cash all or a portion of the Notes held by such holder (i) at any time after the third anniversary of the date on which the Business Combination was consummated (i.e., at any time on or after December 3, 2024), at a price equal to par plus accrued and unpaid interest; or (ii) at any time upon the occurrence of a fundamental change (as defined in the indenture governing the Notes), at a price equal to 101% of par plus accrued and unpaid interest.</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includes restrictive covenants that, among other things, limit our ability to incur additional debt or liens, make restricted payments or investments, dispose of significant assets, transfer specified intellectual property, or enter into transactions with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provided by (used in) operating, investing and financing activities were as follows for the periods presented:</w:t>
      </w:r>
    </w:p>
    <w:tbl>
      <w:tblPr>
        <w:tblW w:w="6101" w:type="dxa"/>
        <w:jc w:val="left"/>
        <w:tblInd w:w="0" w:type="dxa"/>
        <w:tblLayout w:type="fixed"/>
        <w:tblCellMar>
          <w:top w:w="28" w:type="dxa"/>
          <w:left w:w="28" w:type="dxa"/>
          <w:bottom w:w="28" w:type="dxa"/>
          <w:right w:w="28" w:type="dxa"/>
        </w:tblCellMar>
      </w:tblPr>
      <w:tblGrid>
        <w:gridCol w:w="1253"/>
        <w:gridCol w:w="1104"/>
        <w:gridCol w:w="1107"/>
        <w:gridCol w:w="232"/>
        <w:gridCol w:w="762"/>
        <w:gridCol w:w="120"/>
        <w:gridCol w:w="120"/>
        <w:gridCol w:w="120"/>
        <w:gridCol w:w="120"/>
        <w:gridCol w:w="232"/>
        <w:gridCol w:w="762"/>
        <w:gridCol w:w="169"/>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At-The-Market-Offering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may, from time to time, sell up to 13,266,011 shares of our Class A common stock. As of September 30, 2023, we sold, in the aggregate, 2,069,538 shares of our Class A common stock, at an average price of $0.52 per share, for aggregate net proceeds of $0.9 million after deducting commissions and offering expenses. We used the aggregate net proceeds for general corporate purposes, and we have 11,196,473 remaining shares available under the At-The-Market-Offering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used in operating activities was $2.4 million compared to net cash used in operating activities of $7.9 million for the nine months ended September 30, 2022. The change was primarily driven by a $5.0 million decrease in net loss, adjusted for non-cash items, a $7.3 million decrease in the change in accrued expenses, other current liabilities and other liabilities, a $7.3 million decrease in the change in accrued compensation, and a $3.9 million decrease in the change in deferred revenue. These were partially offset by a $10.3 million increase in the change in accounts payable, a $4.9 million increase in the change in prepaid expenses and other current assets and prepaid expenses and other assets, and a $4.1 million increase in the change in accounts receivable.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For the nine months ended September 30, 2023, cash used in investing activities was $11.5 million, which consisted of $10.9 million of capital expenditures on internal-use software and $0.8 million of other capital expenditures</w:t>
      </w:r>
      <w:r>
        <w:rPr>
          <w:rFonts w:ascii="Times New Roman;sans-serif" w:hAnsi="Times New Roman;sans-serif"/>
          <w:b w:val="false"/>
          <w:color w:val="000000"/>
          <w:sz w:val="20"/>
          <w:shd w:fill="FFFFFF" w:val="clear"/>
        </w:rPr>
        <w:t xml:space="preserve">, partially offset by a $0.2 million gain on the sale of an asset.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cash used in investing activities was $13.8 million, which consisted of $9.7 million of expenditures on internal-use software and $4.5 million of other capital expenditures, partially offset by a $0.5 million gain on the sale of an asset.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For the nine months ended September 30, 2023, cash provided by financing activities was $0.9 million,</w:t>
      </w:r>
      <w:r>
        <w:rPr>
          <w:color w:val="000000"/>
        </w:rPr>
        <w:t xml:space="preserve"> </w:t>
      </w:r>
      <w:r>
        <w:rPr>
          <w:rFonts w:ascii="Times New Roman;sans-serif" w:hAnsi="Times New Roman;sans-serif"/>
          <w:b w:val="false"/>
          <w:color w:val="000000"/>
          <w:sz w:val="20"/>
        </w:rPr>
        <w:t xml:space="preserve">which consisted of $2.1 million of borrowings on the Revolving Credit Facility and $0.9 million of net proceeds from the sale of common stock pursuant to our at-the-market offering after deducting commissions and fees, partially offset by a $1.8 million repayment on the Revolving Credit Facility and a $0.4 million payment for withholding taxes on the vesting of certain restricted stock units.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2022, cash provided by financing activities was $3.1 million, which principally consisted of $5.0 million of borrowings under our Revolving Credit Facility and $0.4 million of proceeds from the exercise of stock options, partially offset by the payment of $1.7 million for withholding taxes on the vesting of certain restricted stock units and $0.6 million of deferred reverse recapitalization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commitments consist of obligations for repayment of borrowings under the Notes and the Revolving Credit Facility, and obligations for office space under non-cancelable operating leases with various expiration dates through 2029. Refer to Note 16 to the condensed consolidated financial statements for additional details.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9, Note 15, and Note 16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and related notes in accordance with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2022 for a more complete discussion of our critical accounting policies and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annually as October 1 or more frequently if events or changes in circumstances indicate an impairment may exist (a “triggering event”). As of September 30, 2023, we had $91.6 million of goodwill recorded on our condensed consolidated balance sheet. During the third quarter of 2023, management identified a further sustained decline in share price that pushed our market capitalization below the carrying value of our stockholders’ equity. The Company concluded the sustained decline in share price was a triggering event and proceeded with a quantitative impairment assessment.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quantitative impairment assessment utilized an equal weighting of the income and market approaches. The results of our quantitative impairment test indicated that no impairment existed as the estimated fair value of the Company’s single reporting unit exceeded its carrying value by more than 10%. The determination of fair value under the discounted cash flow method relied on internal projections developed using a number of estimates and assumptions that are inherently subject to significant uncertainties. These estimates and assumptions include, but are not limited to, a discount rate and a terminal growth rate for cash flows. The key assumption in the market approach include determining a control premium, which was estimated using historical transactions over three years. Changes in these estimates or assumptions could materially affect the determination of fair value and the associated goodwill impairment assessment. Potential events and circumstances that could have an adverse impact on our estimates and assumptions include, but are not limited to, declining revenue, inability to improve profitability, continued increases in costs, and rising interest rates and other macroeconomic factors.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monitor and evaluate the carrying value of the reporting unit, and should facts and circumstances change, a non-cash impairment charge could be recorded in the future. Refer to Note 3 to the condensed consolidated financial statements for additional details.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what is noted above, there have been no material changes to our critical accounting policies and estimates as compared to the critical accounting policies and estimates described in our Annual Report on Form 10-K for the fiscal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Adopted and Issued Accounting Pronouncements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2 to the condensed consolidated financial statements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the recent strengthening of the U.S. dollar against the British pound, Japanese yen, and most other major international currencies, could negatively affect our revenue and results of operations as expressed in U.S. dollars. Fluctuations in foreign currency rates, including the strengthening of the U.S. dollar against the British pound and Japanese yen,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interest rates relates primarily to the variable interest component on the Revolving Credit Facility as well as interest earned and market value on money market funds included in our cash and cash equivalents. The effect of a hypothetical 10% change in interest rates applicable to our business would not have a material impact on our condensed consolidated financial statements for the three and nine months ended September 30, 2023 or 2022.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Investment Risk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and $3.6 million as of September 30, 2023 and December 31, 2022. Refer to Note 5 to the condensed consolidated financial statements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In connection with the audit of our consolidated financial statements as of December 31, 2022,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w:t>
      </w:r>
      <w:r>
        <w:rPr>
          <w:rFonts w:ascii="Times New Roman;sans-serif" w:hAnsi="Times New Roman;sans-serif"/>
          <w:b w:val="false"/>
          <w:color w:val="000000"/>
          <w:sz w:val="20"/>
          <w:shd w:fill="FFFFFF" w:val="clear"/>
        </w:rPr>
        <w:t xml:space="preserve">(b) ineffective upstream processes for gathering critical data to support formalized assessment and review of certain technical accounting matters; </w:t>
      </w:r>
      <w:r>
        <w:rPr>
          <w:rFonts w:ascii="Times New Roman;sans-serif" w:hAnsi="Times New Roman;sans-serif"/>
          <w:b w:val="false"/>
          <w:color w:val="000000"/>
          <w:sz w:val="20"/>
        </w:rPr>
        <w:t>and (c) the selection and development of control activities, including information technology (“IT”) general controls.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management implemented remediation plans and enhanced controls within the financial statement close process. However, certain business process controls did not operate at the appropriate level of precision to prevent or detect a material misstatement. Management is in progress of implementing remediation plans to refine control procedures and enhance documentation to ensure controls operate sufficiently. Although management designed remediation plans in 2022 across its IT general control environment, due to resource constraints and lack of sufficient staff with technical expertise, the necessary IT general controls were partially implemented or not executed consistently.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oversight of senior management, we have hired additional accounting personnel with technical accounting, financial reporting and public company experience throughout 2022. However, the process for gathering critical information to support certain technical accounting conclusions is manual and time-intensive. Additionally, management did not maintain sufficient evidence of certain technical accounting assessments and reviews.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in progress of implementing remediation plans in 2023 which include: (i) refining control procedures and enhancing documentation to ensure controls operate sufficiently and consistently across the financial statement close process; (ii) enhancing upstream processes to streamline data gathering from key business stakeholders, and formalizing documentation of certain technical accounting assessments and conclusions; and (iii) designing and implementing formalized controls within our IT general control environment.</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2023 and will make the changes we determine to be appropriate.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September 30, 2023, the period covered in this report, our disclosure controls and procedures were not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such term is defined in Rules 13a-15(f) and 15d-15(f) of the Exchange Act) during the quarter ended September 30, 2023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Video Privacy Protection Act:</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a lawsuit titled Hunthausen v. BuzzFeed, Inc. was filed against us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is seeking an injunction to stop further alleged wrongful conduct, to recover unspecified compensatory damages and an award of costs, and any further appropriate relief. We have moved to dismiss the case.</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we received 8,927 individual demands for JAMS arbitration in California, all of which allege that we violated the VPPA by transmitting personally identifying information via the Meta pixel, purportedly connected to posts on the BuzzFeed website. Each claimant is seeking to recover damages in the amount of $2,500 for each alleged violation of the VPPA. No arbitration claims have yet been filed in connection with these demands.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15, 2023, we received (1) 5,247 individual demands for JAMS arbitration in California, all of which allege that we violated the VPPA by transmitting personally identifying information via the use of various pixels purportedly in connection with the HuffPost.com website; and (2) 12,176 individual demands for JAMS arbitration in California, all of which allege that we violated the VPPA by transmitting personal identifying information via the use of various pixels purportedly in connection with the BuzzFeed.com website. Each claimant is seeking to recover damages in the amount of $2,500 for each alleged violation of the VPPA, as well as punitive damages, attorneys’ fees and costs, and equitable relief. No arbitration claims have yet been filed in connection with these demands.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Mass Arbitrations: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Two mass arbitrations (the “Arbitrations”) were initiated before the American Arbitration Association on March 15, 2022 against us and certain of our executive officers and directors (together, the “BuzzFeed Defendants”) and Continental Stock Transfer Corporation by 91 individuals previously employed by certain wholly-owned subsidiaries of 890, and BuzzFeed, Inc., a Delaware corporation (“Legacy BuzzFeed” and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of 1933, as amended (the “Securities Act”). The Claimants sought to recover unspecified compensatory damages, an award of costs, and any further appropriate relief.</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Claimants filed amended statements of claim in the Arbitrations against BuzzFeed Media Enterprises, Inc., our wholly-owned subsidiary, and Continental Stock Transfer &amp; Trust Corporation, the transfer agent for 890 and later us.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BuzzFeed Media Enterprises, Inc.,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complaint seeks declaratory and injunctive relief. The parties have cross-moved for summary judgment and a hearing on those motions is pending.</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regarding other legal proceedings in which we are involved, refer to Note 16 to the condensed consolidated financial statements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Disclosure about our existing risk factors is set forth in Item 1A, “Risk Factors,” in our Quarterly Report on Form 10-Q for the quarter ended March 31, 2023, and in our Annual Report on Form 10-K for the fiscal year ended December 31, 2022. Other than as described below, o</w:t>
      </w:r>
      <w:r>
        <w:rPr>
          <w:rFonts w:ascii="Times New Roman;sans-serif" w:hAnsi="Times New Roman;sans-serif"/>
          <w:b w:val="false"/>
          <w:color w:val="000000"/>
          <w:sz w:val="20"/>
          <w:shd w:fill="FFFFFF" w:val="clear"/>
        </w:rPr>
        <w:t>ur risk factors have not changed materially since March 31, 2023.</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revenue and results of operations are highly dependent on overall advertising demand in the markets in which we operate. Factors that affect the amount of advertising spending, such as economic downturns and unexpected events can make it difficult to predict our revenue and could otherwise adversely affect our business, results of operations, and financial condition.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in the markets in which we operate and on the business condition of our current and prospective partners and advertisers. Macroeconomic factors in the U.S. and foreign markets, including adverse economic conditions, general uncertainty about economic recovery or growth, rising interest rates, high unemployment, and inflation, could cause advertisers to reduce their advertising budgets. These macroeconomic factors have adversely affected our advertising and content revenues to date in 2023 and we expect these factors will continue to adversely impact our revenue in fiscal year 2023. Additionally, given global supply chain issues and inflationary pressures, certain advertisers may not have readily accessible inventory to merit marketing expenditures. Our business may also be negatively impacted by geopolitical concerns, which may result in conservative approaches by advertisers and when allocating budgets and ad inventory. Reductions in overall advertising spending as a result of these factors or due to the occurrence of unanticipated events, like the COVID-19 pandemic, could result in a decrease in our revenue and potential profit or make it difficult to predict our future performance, any of which could adversely affect our business, results of operations, and financial condition.</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The levels of our traffic and engagement with our brands and content are critical to our success. Additionally, a portion of our online traffic is generated from other third-party platforms and Internet search engines. Declines in referrals from third-party platforms and changes in search engine algorithms may reduce the number of visitors to our owned and operated properties and could therefore cause our revenue to decline.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attract online visitors to our owned and operated properties, and we depend in part on referrals from third-party platforms and Internet search companies to direct visitors to our owned and operated properties. Our ability to maintain or grow the number of visitors to our owned and operated properties from third-party platforms and Internet search engines is not entirely within our control. Third-party platforms and major tech companies continue to prioritize their formats, which may cause referrals from these platforms to our content to diminish. The decline in referrals from third-party platforms and major tech companies has had, and we expect will continue to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adverse impact on our revenues. Additionally, search companies frequently revise their algorithms and changes in their algorithms could in the future cause our owned and operated properties to receive less favorable placements.</w:t>
      </w:r>
    </w:p>
    <w:p>
      <w:pPr>
        <w:pStyle w:val="TextBody"/>
        <w:bidi w:val="0"/>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Our operating cash flows, together with cash and cash equivalents, may be insufficient to meet our working capital and capital expenditure requirements and, from time to time, we may need additional financing to operate or grow our business. Our ability to obtain additional financing, if and when required, will depend on investor and lender demand, our operating performance, the condition of the capital markets and other factors, and we do not know whether additional financing will be available to us on favorable terms when required, or at all. For example, the U.S. Federal Reserve began raising its benchmark rate in March 2022, increasing the rate by a total of 4.25% during 2022. The Federal Funds interest rate is currently 5.25% - 5.50%, compared to 3.25% just one year ago.</w:t>
      </w:r>
      <w:r>
        <w:rPr>
          <w:color w:val="000000"/>
        </w:rPr>
        <w:t xml:space="preserve"> </w:t>
      </w:r>
      <w:r>
        <w:rPr>
          <w:rFonts w:ascii="Times New Roman;sans-serif" w:hAnsi="Times New Roman;sans-serif"/>
          <w:b w:val="false"/>
          <w:color w:val="000000"/>
          <w:sz w:val="20"/>
        </w:rPr>
        <w:t>Such increases and any future increases may, among other things, reduce the availability and increase the costs of obtaining new variable rate debt and refinancing existing indebtedness, and adversely affect our financial condition and results of operations. If inflation increases costs beyond our ability to control, we may not be able to adjust prices or use our portfolio strategy to sufficiently offset the effect without negatively impacting consumer demand or our gross margin. If we raise additional funds through the issuance of equity, those securities may have rights, preferences, or privileges senior to the rights of our existing preferred and common stock, and our existing stockholders will experience dilution. If we are unable to obtain adequate financing or financing on terms satisfactory to us when we require it, and our operating cash flows, together with cash and cash equivalents, are otherwise insufficient, our ability to continue to support the operation or growth of our business could be significantly impaired and our operating results may be harmed.</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color w:val="000000"/>
          <w:sz w:val="20"/>
        </w:rPr>
        <w:t xml:space="preserve">If we are unable to raise additional capital in the capital or financial markets, actions we may need to take in order to generate capital to fund our operations include, but may not be limited to, delaying certain investments, undergoing additional restructuring efforts, disposing of certain operating assets, limiting our planned level of capital expenditures and future growth plans in certain revenue lines, or adjusting our presence in international markets. Any such actions, the timing of which depends on a number of factors </w:t>
      </w:r>
      <w:r>
        <w:rPr>
          <w:color w:val="333333"/>
          <w:shd w:fill="FFFFFF" w:val="clear"/>
        </w:rPr>
        <w:t>—</w:t>
      </w:r>
      <w:r>
        <w:rPr>
          <w:color w:val="000000"/>
        </w:rPr>
        <w:t xml:space="preserve"> </w:t>
      </w:r>
      <w:r>
        <w:rPr>
          <w:rFonts w:ascii="Times New Roman;sans-serif" w:hAnsi="Times New Roman;sans-serif"/>
          <w:b w:val="false"/>
          <w:color w:val="000000"/>
          <w:sz w:val="20"/>
        </w:rPr>
        <w:t xml:space="preserve">including but not limited to, as of the applicable time, (1) our available cash, liquidity and operating performance; our commitments and obligations; (2) our capital requirements; (3) limitations imposed under our credit arrangements; and (4) overall market conditions </w:t>
      </w:r>
      <w:r>
        <w:rPr>
          <w:color w:val="333333"/>
          <w:shd w:fill="FFFFFF" w:val="clear"/>
        </w:rPr>
        <w:t xml:space="preserve">— </w:t>
      </w:r>
      <w:r>
        <w:rPr>
          <w:rFonts w:ascii="Times New Roman;sans-serif" w:hAnsi="Times New Roman;sans-serif"/>
          <w:b w:val="false"/>
          <w:color w:val="000000"/>
          <w:sz w:val="20"/>
        </w:rPr>
        <w:t>could be material to our business, financial condition, and results of operation. There is no assurance that we will be able to take any needed actions on terms acceptable to us, or at all. If we are unable to generate capital to fund our operations, our ability to continue to support the operation or growth of our business could be significantly impaired and our operating results may be harmed. Further, any restructuring efforts or asset dispositions involve risks and uncertainties, such as disruption to other parts of our business, potential loss of employees or customers, or exposure to unanticipated liabilities or ongoing obligations to us following any such activities.</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We have recorded significant impairment charges and could do so again in the future, which could have a material negative impact on our results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fiscal year 2022, we recorded material charges related to the impairment of our goodwill and certain long-lived assets. We had approximately $91.6 million of goodwill and $109.9 million of acquired intangible assets on our condensed consolidated balance sheet as of September 30, 2023. Under accounting principles generally accepted in the United States (GAAP), we are required to review our intangible assets, including goodwill, for impairment whenever events or changes in circumstances indicate that the carrying value of these assets may not be recoverable. We perform an assessment of goodwill for impairment annually as of October 1, as well as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Circumstances which could trigger an assessment of goodwill for impairment include, but are not limited to: a significant decline in our stock price for a sustained period; significant negative industry or economic trends; our overall financial performance such as negative or declining cash flows or a decline in actual or planned revenue or earnings compared with actual and projected results of relevant prior periods; other relevant entity-specific events including changes in management, key personnel, strategy, or customers; and other events affecting our single reporting unit.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Additionally, we assess the impairment of intangible assets whenever events or changes in circumstances indicate that the carrying value of such assets may not be recoverable. Circumstances which could trigger such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forecast of continuing losses associated with the use of the asset; and current expectations that the asset will more likely than not be sold or disposed of significantly before the end of its estimated useful life.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During the third quarter of 2023, we experienced a further sustained decline in share price that pushed our market capitalization below the carrying value of our stockholders’ equity. We concluded the sustained decline in share price was a triggering event and performed a quantitative impairment assessment with respect to goodwill. The quantitative impairment assessment was performed as of September 30, 2023, utilizing a combination of the income and market approach. </w:t>
      </w: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 xml:space="preserve">e concluded that the fair value of the Company’s single reporting unit exceeded the carrying value, and as such, there was no impairment as of September 30, 2023. Refer to Note 3 to the condensed consolidated financial statements and “Critical Accounting Policies and Estimates” within Item 2. “Management’s Discussion and Analysis of Financial Condition and Results of Operations” herein for additional information.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impairment analysis is sensitive to changes in key assumptions used in our analysis, such as expected future cash flows, the degree of volatility in equity and debt markets, and our stock price. If the assumptions used in our analysis are not realized, and if our fair value declines to below our carrying value, it is possible that an impairment charge may need to be recorded in the future. Under current accounting standards, if we determine goodwill or intangible assets are impaired, we will be required to write down these assets. Any write-down could have a negative effect on the condensed consolidated financial statements and could impact our compliance with the equity requirement of the Nasdaq Listing Rules.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From time to time, we may be subject to legal proceedings, regulatory disputes, and governmental investigations that could cause us to incur significant expenses, divert our management’s attention, and materially harm our business, financial condition, and operating results.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claims, lawsuits (including class actions), government investigations, arbitrations and other proceedings involving competition and antitrust, advertising and marketing, intellectual property (including copyright, trademark and patent), privacy, defamation, libel and slander, consumer protection, securities, tax, labor and employment, bribery and corruption, economic and trade sanctions, commercial disputes, and other matters that could adversely affect our business operations and financial condition. The foregoing list is non-exhaustive. We have faced and will continue to face claims relating to our content that is published or made available through our websites and applications, or through third-party platforms or services. In particular, the nature of our business exposes us to claims related to defamation, intellectual property rights (including copyright, trademark and patent), rights of publicity and privacy and FTC regulation. As an example, as described in further detail in “Legal Proceedings,” within Part II, Item 1. “Other Information” herein, we are party to a number of claims for alleged violations of the VPPA based on the claimed transmission of personally identifying information via the Meta pixel, Google Analytics, and the TikTok pixel, all of which are purportedly connected to posts on the BuzzFeed.com and HuffPost.com websites. The outcome of any legal proceeding, regardless of its merits, is inherently uncertain. If we do not prevail in litigation, we could incur substantial liabilities, some or all of which may not be covered by our insurance. If, for example, we do not prevail in the lawsuits and the threatened arbitration matters alleging violations of the VPPA, we would become liable for paying damages in the amount of $2,500 for each alleged violation. We may also determine in certain instances that a settlement may be a more cost-effective and efficient resolution for a dispute. Further, pending or future legal proceedings could result in a diversion of management’s attention and resources and reputational harm, and we may be required to incur significant expenses defending against these claims or pursuing claims against third parties to protect our rights.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 risk of loss is probable and we can make a reasonable estimate of the liability relating to pending litigation, we record a related liability. As additional information becomes available, we assess the potential liability and revise estimates as appropriate. However, because of uncertainties relating to litigation, the amount of our estimates could be wrong as determining reserves for pending legal proceedings is a complex, fact-intensive process that is subject to judgment calls. The results of legal and regulatory proceedings cannot be predicted with certainty. There can be no assurance that our expectations will prove correct, and even if these matters are resolved in our favor or without significant cash settlements, these matters, and the time and resources necessary to litigate or resolve them, could harm our business. If we incur costs or liability as a result of these events occurring, our business, financial condition and operating results could be adversely affected. Liability may also impact our insurance premiums as well as our ability to obtain or maintain insurance coverage. Further, any adverse determination related to legal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Our common stock is currently listed for trading on </w:t>
      </w:r>
      <w:r>
        <w:rPr>
          <w:rFonts w:ascii="Times New Roman;sans-serif" w:hAnsi="Times New Roman;sans-serif"/>
          <w:b w:val="false"/>
          <w:color w:val="000000"/>
          <w:sz w:val="20"/>
        </w:rPr>
        <w:t>The Nasdaq Stock Market LLC (“Nasdaq”)</w:t>
      </w:r>
      <w:r>
        <w:rPr>
          <w:rFonts w:ascii="Times New Roman;sans-serif" w:hAnsi="Times New Roman;sans-serif"/>
          <w:b w:val="false"/>
          <w:color w:val="000000"/>
          <w:sz w:val="20"/>
          <w:shd w:fill="FFFFFF" w:val="clear"/>
        </w:rPr>
        <w:t xml:space="preserve">. We must satisfy Nasdaq’s continued listing requirements, including, among other things, a minimum closing bid price of $1.00 per share, or risk delisting. </w:t>
      </w:r>
      <w:r>
        <w:rPr>
          <w:rFonts w:ascii="Times New Roman;sans-serif" w:hAnsi="Times New Roman;sans-serif"/>
          <w:b w:val="false"/>
          <w:color w:val="000000"/>
          <w:sz w:val="20"/>
        </w:rPr>
        <w:t xml:space="preserve">On May 31, 2023, we received a letter from Nasdaq’s Listing Qualifications Department (the “Staff”) notifying us that, for the previous 30 consecutive business days, the bid price for our common stock had closed below the minimum $1.00 per share requirement for continued listing on the Nasdaq Global Market. If we are not in compliance with the bid price requirement by November 27, 2023, we may qualify for a second 180-calendar day compliance period. To qualify, we would be required, among other things, to transfer from the Nasdaq Global Market to the Nasdaq Capital Market. Refer to Note 16 to the condensed consolidated financial statements for additional information.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qualify for a second compliance period, a transfer to the Nasdaq Capital Market could adversely affect the liquidity of our common stock. There also could be a reduction in our coverage by securities analysts and the news media, which could cause the price of our common stock to decline further. We may also face other material adverse consequences in such event, such as negative publicity, which may contribute to a further decline in our stock price.</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If we do not qualify for, or fail to regain compliance during, a second compliance period, then the Staff will provide us with written notification that our common stock will be subject to delisting. At that time, we may appeal the Staff’s delisting determination to the Nasdaq Listing Qualifications Panel. However, there can be no assurance that, if we receive a delisting notice and appeal the delisting determination, such an appeal would be successful. </w:t>
      </w:r>
      <w:r>
        <w:rPr>
          <w:rFonts w:ascii="Times New Roman;sans-serif" w:hAnsi="Times New Roman;sans-serif"/>
          <w:b w:val="false"/>
          <w:color w:val="000000"/>
          <w:sz w:val="20"/>
          <w:shd w:fill="FFFFFF" w:val="clear"/>
        </w:rPr>
        <w:t>A delisting of our common stock from Nasdaq would materially reduce the liquidity of our common stock and result in a corresponding material reduction in the price of our common stock. Any such event could make it more difficult to dispose of, or obtain accurate quotations for the price of, our common stock, and there also could be additional reduction in our coverage by securities analysts and the news media, which could cause the price of our common stock to decline further.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our common stock does not continue to be listed on a national securities exchange, we may be required to repurchase the Notes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Under the indenture governing our $150.0 million aggregate principal amount of unsecured convertible notes due 2026 (the “Notes”), the failure of our common stock to be listed on any national securities exchange or quoted on Nasdaq would constitute a fundamental change. As such, within 20 business days of a delisting, we would have to offer to repurchase the Notes for cash at a price equal to 101% of par plus accrued and unpaid interest, no later than the 35</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business day following such notice.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Unless our common stock continues to be listed on a national securities exchange it will become subject to the so-called “penny stock” rules that impose restrictive sales practice requirements.</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shd w:fill="FFFFFF" w:val="clear"/>
        </w:rPr>
        <w:t xml:space="preserve">In addition to the foregoing, if our common stock is delisted from Nasdaq and is traded on the over-the-counter market, the application of the “penny stock” rules could adversely affect the market price of our common stock and increase the transaction costs to sell those shares. The </w:t>
      </w:r>
      <w:r>
        <w:rPr>
          <w:rFonts w:ascii="Times New Roman;sans-serif" w:hAnsi="Times New Roman;sans-serif"/>
          <w:b w:val="false"/>
          <w:color w:val="000000"/>
          <w:sz w:val="20"/>
        </w:rPr>
        <w:t>U.S. Securities and Exchange Commission (“SEC”)</w:t>
      </w:r>
      <w:r>
        <w:rPr>
          <w:color w:val="000000"/>
          <w:shd w:fill="FFFFFF" w:val="clear"/>
        </w:rPr>
        <w:t xml:space="preserve"> </w:t>
      </w:r>
      <w:r>
        <w:rPr>
          <w:rFonts w:ascii="Times New Roman;sans-serif" w:hAnsi="Times New Roman;sans-serif"/>
          <w:b w:val="false"/>
          <w:color w:val="000000"/>
          <w:sz w:val="20"/>
          <w:shd w:fill="FFFFFF" w:val="clear"/>
        </w:rPr>
        <w:t>has adopted regulations which generally define a “penny stock” as any equity security not listed on a national securities exchange or quoted on Nasdaq that has a market price of less than $5.00 per share, subject to certain exceptions. If our common stock is delisted from Nasdaq and is traded on the over-the-counter market at a price of less than $5.00 per share, our common stock would be considered a penny stock. Unless otherwise exempted, the SEC’s penny stock rules require a broker-dealer, before a transaction in a penny stock, to deliver a standardized risk disclosure document that provides information about penny stock and the risks in the penny stock market, the current bid and offer quotations for the penny stock, the compensation of the broker-dealer and the salesperson in the transaction, and monthly account statements showing the market value of each penny stock held in the customer’s account. Further, prior to a transaction in a penny stock, the penny stock rules require the broker-dealer to provide a written determination that the penny stock is a suitable investment for the purchaser and receive the purchaser’s agreement to the transaction. If applicable in the future, the penny stock rules may restrict the ability of brokers-dealers to sell our common stock and may affect the ability of investors to sell their shares, until our common stock is no longer a penny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82"/>
        <w:gridCol w:w="2629"/>
        <w:gridCol w:w="37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Agreement and Plan of Merger, dated as of June 24, 2021, by and among 890 5th Avenue Partners, Inc., Bolt Merger Sub I, Inc., Bolt Merger Sub II, Inc., and BuzzFeed, Inc.(incorporated by reference to Exhibit 2.1 to the Company’s Current Report on Form 8-K filed on June 24,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"https://www.sec.gov/Archives/edgar/data/1828972/000110465921136139/tm2122219-17_s4a.htm" \l "tANNA1"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ans-serif" w:hAnsi="Times New Roman;sans-serif"/>
                <w:color w:val="0000FF"/>
              </w:rPr>
              <w:fldChar w:fldCharType="end"/>
            </w:r>
            <w:r>
              <w:rPr>
                <w:color w:val="000000"/>
              </w:rPr>
              <w:t xml:space="preserve"> </w:t>
            </w:r>
            <w:hyperlink r:id="rId3">
              <w:r>
                <w:rPr>
                  <w:rStyle w:val="InternetLink"/>
                  <w:rFonts w:ascii="Times New Roman;sans-serif" w:hAnsi="Times New Roman;sans-serif"/>
                  <w:b w:val="false"/>
                  <w:color w:val="000080"/>
                  <w:sz w:val="20"/>
                  <w:u w:val="single"/>
                </w:rPr>
                <w:t>(incorporated by reference to Exhibit 2.2 to the Company’s Registration Statement on Form S-4/A</w:t>
              </w:r>
            </w:hyperlink>
            <w:hyperlink r:id="rId4">
              <w:r>
                <w:rPr>
                  <w:rStyle w:val="InternetLink"/>
                  <w:rFonts w:ascii="Times New Roman;sans-serif" w:hAnsi="Times New Roman;sans-serif"/>
                  <w:b w:val="false"/>
                  <w:color w:val="000080"/>
                  <w:sz w:val="20"/>
                  <w:u w:val="single"/>
                </w:rPr>
                <w:t xml:space="preserve"> </w:t>
              </w:r>
            </w:hyperlink>
            <w:hyperlink r:id="rId5">
              <w:r>
                <w:rPr>
                  <w:rStyle w:val="InternetLink"/>
                  <w:rFonts w:ascii="Times New Roman;sans-serif" w:hAnsi="Times New Roman;sans-serif"/>
                  <w:b w:val="false"/>
                  <w:color w:val="000080"/>
                  <w:sz w:val="20"/>
                  <w:u w:val="single"/>
                </w:rPr>
                <w:t>filed on October 29,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20"/>
                  <w:u w:val="single"/>
                </w:rPr>
                <w:t>Membership Interest Purchase Agreement, dated as of March 27, 2021, by and among BuzzFeed, Inc., CM Partners, LLC, Complex Media, Inc., Verizon CMP Holdings LLC and HDS II, Inc.</w:t>
              </w:r>
            </w:hyperlink>
            <w:r>
              <w:rPr>
                <w:color w:val="000000"/>
              </w:rPr>
              <w:t xml:space="preserve"> </w:t>
            </w:r>
            <w:hyperlink r:id="rId7">
              <w:r>
                <w:rPr>
                  <w:rStyle w:val="InternetLink"/>
                  <w:rFonts w:ascii="Times New Roman;sans-serif" w:hAnsi="Times New Roman;sans-serif"/>
                  <w:b w:val="false"/>
                  <w:color w:val="000080"/>
                  <w:sz w:val="20"/>
                  <w:u w:val="single"/>
                </w:rPr>
                <w:t>(incorporated by reference to Exhibit 2.2 to the Company’s Registration Statement on Form S-</w:t>
              </w:r>
            </w:hyperlink>
            <w:hyperlink r:id="rId8">
              <w:r>
                <w:rPr>
                  <w:rStyle w:val="InternetLink"/>
                  <w:rFonts w:ascii="Times New Roman;sans-serif" w:hAnsi="Times New Roman;sans-serif"/>
                  <w:b w:val="false"/>
                  <w:color w:val="000080"/>
                  <w:sz w:val="20"/>
                  <w:u w:val="single"/>
                </w:rPr>
                <w:t>4</w:t>
              </w:r>
            </w:hyperlink>
            <w:hyperlink r:id="rId9">
              <w:r>
                <w:rPr>
                  <w:rStyle w:val="InternetLink"/>
                  <w:rFonts w:ascii="Times New Roman;sans-serif" w:hAnsi="Times New Roman;sans-serif"/>
                  <w:b w:val="false"/>
                  <w:color w:val="000080"/>
                  <w:sz w:val="20"/>
                  <w:u w:val="single"/>
                </w:rPr>
                <w:t xml:space="preserve">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20"/>
                  <w:u w:val="single"/>
                </w:rPr>
                <w:t>Amendment No. 1 to the Membership Interest Purchase Agreement, dated as of June 24, 2021, by and among BuzzFeed, Inc., CM Partners, LLC, Complex Media, Inc., Verizon CMP Holdings LLC and HDS II, Inc.</w:t>
              </w:r>
            </w:hyperlink>
            <w:r>
              <w:rPr>
                <w:color w:val="000000"/>
              </w:rPr>
              <w:t xml:space="preserve"> </w:t>
            </w:r>
            <w:hyperlink r:id="rId11">
              <w:r>
                <w:rPr>
                  <w:rStyle w:val="InternetLink"/>
                  <w:rFonts w:ascii="Times New Roman;sans-serif" w:hAnsi="Times New Roman;sans-serif"/>
                  <w:b w:val="false"/>
                  <w:color w:val="000080"/>
                  <w:sz w:val="20"/>
                  <w:u w:val="single"/>
                </w:rPr>
                <w:t xml:space="preserve">(incorporated by reference to Exhibit 2.3 to the Company’s Registration Statement on Form S-4 </w:t>
              </w:r>
            </w:hyperlink>
            <w:hyperlink r:id="rId12">
              <w:r>
                <w:rPr>
                  <w:rStyle w:val="InternetLink"/>
                  <w:rFonts w:ascii="Times New Roman;sans-serif" w:hAnsi="Times New Roman;sans-serif"/>
                  <w:b w:val="false"/>
                  <w:color w:val="000080"/>
                  <w:sz w:val="20"/>
                  <w:u w:val="single"/>
                </w:rPr>
                <w:t>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20"/>
                  <w:u w:val="single"/>
                </w:rPr>
                <w:t>Second Amended and Restated Certificate of Incorporation of BuzzFeed, Inc.,</w:t>
              </w:r>
            </w:hyperlink>
            <w:r>
              <w:rPr>
                <w:color w:val="000000"/>
              </w:rPr>
              <w:t xml:space="preserve"> </w:t>
            </w:r>
            <w:hyperlink r:id="rId14">
              <w:r>
                <w:rPr>
                  <w:rStyle w:val="InternetLink"/>
                  <w:rFonts w:ascii="Times New Roman;sans-serif" w:hAnsi="Times New Roman;sans-serif"/>
                  <w:b w:val="false"/>
                  <w:color w:val="000080"/>
                  <w:sz w:val="20"/>
                  <w:u w:val="single"/>
                </w:rPr>
                <w:t>(incorporated by reference to Exhibit 3.1 to the Company’s Current Report on Form 8-K</w:t>
              </w:r>
            </w:hyperlink>
            <w:hyperlink r:id="rId15">
              <w:r>
                <w:rPr>
                  <w:rStyle w:val="InternetLink"/>
                  <w:rFonts w:ascii="Times New Roman;sans-serif" w:hAnsi="Times New Roman;sans-serif"/>
                  <w:b w:val="false"/>
                  <w:color w:val="000080"/>
                  <w:sz w:val="20"/>
                  <w:u w:val="single"/>
                </w:rPr>
                <w:t xml:space="preserve"> filed on December 3,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20"/>
                  <w:u w:val="single"/>
                </w:rPr>
                <w:t>Certificate of Change of Registered Agent and/or Registered Office, dated as of March 13, 2023</w:t>
              </w:r>
            </w:hyperlink>
            <w:r>
              <w:rPr>
                <w:color w:val="000000"/>
              </w:rPr>
              <w:t xml:space="preserve"> </w:t>
            </w:r>
            <w:hyperlink r:id="rId17">
              <w:r>
                <w:rPr>
                  <w:rStyle w:val="InternetLink"/>
                  <w:rFonts w:ascii="Times New Roman;sans-serif" w:hAnsi="Times New Roman;sans-serif"/>
                  <w:b w:val="false"/>
                  <w:color w:val="000080"/>
                  <w:sz w:val="20"/>
                  <w:u w:val="single"/>
                </w:rPr>
                <w:t xml:space="preserve">(incorporated by reference to Exhibit 3.1 to the Company's Current Report on Form 8-K </w:t>
              </w:r>
            </w:hyperlink>
            <w:hyperlink r:id="rId18">
              <w:r>
                <w:rPr>
                  <w:rStyle w:val="InternetLink"/>
                  <w:rFonts w:ascii="Times New Roman;sans-serif" w:hAnsi="Times New Roman;sans-serif"/>
                  <w:b w:val="false"/>
                  <w:color w:val="000080"/>
                  <w:sz w:val="20"/>
                  <w:u w:val="single"/>
                </w:rPr>
                <w:t>filed on March 15,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80"/>
                  <w:sz w:val="20"/>
                  <w:u w:val="single"/>
                </w:rPr>
                <w:t>Certificate of Amendment of Second Amended and Restated Certificate of Incorporation of BuzzFeed, Inc. filed on June 1, 2023</w:t>
              </w:r>
            </w:hyperlink>
            <w:hyperlink r:id="rId20">
              <w:r>
                <w:rPr>
                  <w:rStyle w:val="InternetLink"/>
                  <w:rFonts w:ascii="Times New Roman;sans-serif" w:hAnsi="Times New Roman;sans-serif"/>
                  <w:b w:val="false"/>
                  <w:color w:val="000080"/>
                  <w:sz w:val="20"/>
                  <w:u w:val="single"/>
                </w:rPr>
                <w:t xml:space="preserve"> (incorp</w:t>
              </w:r>
            </w:hyperlink>
            <w:hyperlink r:id="rId21">
              <w:r>
                <w:rPr>
                  <w:rStyle w:val="InternetLink"/>
                  <w:rFonts w:ascii="Times New Roman;sans-serif" w:hAnsi="Times New Roman;sans-serif"/>
                  <w:b w:val="false"/>
                  <w:color w:val="000080"/>
                  <w:sz w:val="20"/>
                  <w:u w:val="single"/>
                </w:rPr>
                <w:t>orated by refe</w:t>
              </w:r>
            </w:hyperlink>
            <w:hyperlink r:id="rId22">
              <w:r>
                <w:rPr>
                  <w:rStyle w:val="InternetLink"/>
                  <w:rFonts w:ascii="Times New Roman;sans-serif" w:hAnsi="Times New Roman;sans-serif"/>
                  <w:b w:val="false"/>
                  <w:color w:val="000080"/>
                  <w:sz w:val="20"/>
                  <w:u w:val="single"/>
                </w:rPr>
                <w:t>rence t</w:t>
              </w:r>
            </w:hyperlink>
            <w:hyperlink r:id="rId23">
              <w:r>
                <w:rPr>
                  <w:rStyle w:val="InternetLink"/>
                  <w:rFonts w:ascii="Times New Roman;sans-serif" w:hAnsi="Times New Roman;sans-serif"/>
                  <w:b w:val="false"/>
                  <w:color w:val="000080"/>
                  <w:sz w:val="20"/>
                  <w:u w:val="single"/>
                </w:rPr>
                <w:t>o Ex</w:t>
              </w:r>
            </w:hyperlink>
            <w:hyperlink r:id="rId24">
              <w:r>
                <w:rPr>
                  <w:rStyle w:val="InternetLink"/>
                  <w:rFonts w:ascii="Times New Roman;sans-serif" w:hAnsi="Times New Roman;sans-serif"/>
                  <w:b w:val="false"/>
                  <w:color w:val="000080"/>
                  <w:sz w:val="20"/>
                  <w:u w:val="single"/>
                </w:rPr>
                <w:t xml:space="preserve">hibit 3.3 </w:t>
              </w:r>
            </w:hyperlink>
            <w:hyperlink r:id="rId25">
              <w:r>
                <w:rPr>
                  <w:rStyle w:val="InternetLink"/>
                  <w:rFonts w:ascii="Times New Roman;sans-serif" w:hAnsi="Times New Roman;sans-serif"/>
                  <w:b w:val="false"/>
                  <w:color w:val="000080"/>
                  <w:sz w:val="20"/>
                  <w:u w:val="single"/>
                </w:rPr>
                <w:t>to the Company</w:t>
              </w:r>
            </w:hyperlink>
            <w:hyperlink r:id="rId26">
              <w:r>
                <w:rPr>
                  <w:rStyle w:val="InternetLink"/>
                  <w:rFonts w:ascii="Times New Roman;sans-serif" w:hAnsi="Times New Roman;sans-serif"/>
                  <w:b w:val="false"/>
                  <w:color w:val="000080"/>
                  <w:sz w:val="20"/>
                  <w:u w:val="single"/>
                </w:rPr>
                <w:t>’</w:t>
              </w:r>
            </w:hyperlink>
            <w:hyperlink r:id="rId27">
              <w:r>
                <w:rPr>
                  <w:rStyle w:val="InternetLink"/>
                  <w:rFonts w:ascii="Times New Roman;sans-serif" w:hAnsi="Times New Roman;sans-serif"/>
                  <w:b w:val="false"/>
                  <w:color w:val="000080"/>
                  <w:sz w:val="20"/>
                  <w:u w:val="single"/>
                </w:rPr>
                <w:t>s Qu</w:t>
              </w:r>
            </w:hyperlink>
            <w:hyperlink r:id="rId28">
              <w:r>
                <w:rPr>
                  <w:rStyle w:val="InternetLink"/>
                  <w:rFonts w:ascii="Times New Roman;sans-serif" w:hAnsi="Times New Roman;sans-serif"/>
                  <w:b w:val="false"/>
                  <w:color w:val="000080"/>
                  <w:sz w:val="20"/>
                  <w:u w:val="single"/>
                </w:rPr>
                <w:t>art</w:t>
              </w:r>
            </w:hyperlink>
            <w:hyperlink r:id="rId29">
              <w:r>
                <w:rPr>
                  <w:rStyle w:val="InternetLink"/>
                  <w:rFonts w:ascii="Times New Roman;sans-serif" w:hAnsi="Times New Roman;sans-serif"/>
                  <w:b w:val="false"/>
                  <w:color w:val="000080"/>
                  <w:sz w:val="20"/>
                  <w:u w:val="single"/>
                </w:rPr>
                <w:t>erly Report on Form 10</w:t>
              </w:r>
            </w:hyperlink>
            <w:hyperlink r:id="rId30">
              <w:r>
                <w:rPr>
                  <w:rStyle w:val="InternetLink"/>
                  <w:rFonts w:ascii="Times New Roman;sans-serif" w:hAnsi="Times New Roman;sans-serif"/>
                  <w:b w:val="false"/>
                  <w:color w:val="000080"/>
                  <w:sz w:val="20"/>
                  <w:u w:val="single"/>
                </w:rPr>
                <w:t>-Q for the period ended June 30, 2023</w:t>
              </w:r>
            </w:hyperlink>
            <w:hyperlink r:id="rId31">
              <w:r>
                <w:rPr>
                  <w:rStyle w:val="InternetLink"/>
                  <w:rFonts w:ascii="Times New Roman;sans-serif" w:hAnsi="Times New Roman;sans-serif"/>
                  <w:b w:val="false"/>
                  <w:color w:val="000080"/>
                  <w:sz w:val="20"/>
                  <w:u w:val="single"/>
                </w:rPr>
                <w:t xml:space="preserve"> filed on August 9, 2023)</w:t>
              </w:r>
            </w:hyperlink>
            <w:hyperlink r:id="rId32">
              <w:r>
                <w:rPr>
                  <w:rStyle w:val="InternetLink"/>
                  <w:rFonts w:ascii="Times New Roman;sans-serif" w:hAnsi="Times New Roman;sans-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20"/>
                  <w:u w:val="single"/>
                </w:rPr>
                <w:t>Restated Bylaws of BuzzFeed, Inc.</w:t>
              </w:r>
            </w:hyperlink>
            <w:r>
              <w:rPr>
                <w:color w:val="000000"/>
              </w:rPr>
              <w:t xml:space="preserve"> </w:t>
            </w:r>
            <w:hyperlink r:id="rId34">
              <w:r>
                <w:rPr>
                  <w:rStyle w:val="InternetLink"/>
                  <w:rFonts w:ascii="Times New Roman;sans-serif" w:hAnsi="Times New Roman;sans-serif"/>
                  <w:b w:val="false"/>
                  <w:color w:val="000080"/>
                  <w:sz w:val="20"/>
                  <w:u w:val="single"/>
                </w:rPr>
                <w:t>(incorporated by reference to Exhibit 3.2 to the Company’s Current Report on Form 8-K</w:t>
              </w:r>
            </w:hyperlink>
            <w:hyperlink r:id="rId35">
              <w:r>
                <w:rPr>
                  <w:rStyle w:val="InternetLink"/>
                  <w:rFonts w:ascii="Times New Roman;sans-serif" w:hAnsi="Times New Roman;sans-serif"/>
                  <w:b w:val="false"/>
                  <w:color w:val="000080"/>
                  <w:sz w:val="20"/>
                  <w:u w:val="single"/>
                </w:rPr>
                <w:t xml:space="preserve">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ans-serif" w:hAnsi="Times New Roman;sans-serif"/>
                  <w:b w:val="false"/>
                  <w:color w:val="000080"/>
                  <w:sz w:val="20"/>
                  <w:u w:val="single"/>
                </w:rPr>
                <w:t xml:space="preserve">Specimen Common Stock Certificate (incorporated by reference to Exhibit 4.1 to the Company's Registration Statement on Form S-4/A filed on October </w:t>
              </w:r>
            </w:hyperlink>
            <w:hyperlink r:id="rId37">
              <w:r>
                <w:rPr>
                  <w:rStyle w:val="InternetLink"/>
                  <w:rFonts w:ascii="Times New Roman;sans-serif" w:hAnsi="Times New Roman;sans-serif"/>
                  <w:b w:val="false"/>
                  <w:color w:val="000080"/>
                  <w:sz w:val="20"/>
                  <w:u w:val="single"/>
                </w:rPr>
                <w:t>1</w:t>
              </w:r>
            </w:hyperlink>
            <w:hyperlink r:id="rId38">
              <w:r>
                <w:rPr>
                  <w:rStyle w:val="InternetLink"/>
                  <w:rFonts w:ascii="Times New Roman;sans-serif" w:hAnsi="Times New Roman;sans-serif"/>
                  <w:b w:val="false"/>
                  <w:color w:val="000080"/>
                  <w:sz w:val="20"/>
                  <w:u w:val="single"/>
                </w:rPr>
                <w:t>, 2021).</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ans-serif" w:hAnsi="Times New Roman;sans-serif"/>
                  <w:b w:val="false"/>
                  <w:color w:val="0000FF"/>
                  <w:sz w:val="20"/>
                  <w:u w:val="single"/>
                </w:rPr>
                <w:t>Specimen Warrant Certificate (incorporated by reference to Exhibit 4.3 to the Company's Registration Statement on Form S-1/A filed on January 6,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20"/>
                  <w:u w:val="single"/>
                </w:rPr>
                <w:t>Indenture, dated December 3, 2021, by and between BuzzFeed, Inc. and Wilmington Savings Fund Society, a federal savings bank, as Trustee (incorporated by reference to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20"/>
                  <w:u w:val="single"/>
                </w:rPr>
                <w:t>Form of Global Note (included in Exhibit 4.3) (incorporated by reference to Exhibit 4.4 to the Company's Current Report on Form 8-K filed on December 9,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05"/>
        <w:gridCol w:w="355"/>
        <w:gridCol w:w="366"/>
        <w:gridCol w:w="109"/>
        <w:gridCol w:w="109"/>
        <w:gridCol w:w="109"/>
        <w:gridCol w:w="2658"/>
        <w:gridCol w:w="2523"/>
        <w:gridCol w:w="3571"/>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20"/>
                  <w:u w:val="single"/>
                </w:rPr>
                <w:t>Description of Registrant’s Securities (incorporated by reference to Exhibit 4.5 to the Company’s Annual Report on Form 10-K filed on March 16, 2023).</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20"/>
                  <w:u w:val="single"/>
                </w:rPr>
                <w:t>First Supplemental Indenture, dated as of July 10, 2023, to the Indenture, dated December 3, 2021 between BuzzFeed, Inc., BuzzFeed Canada, Inc., and Wilmington Savings Fund Society, a Federal Savings Bank, as Trustee.</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80"/>
                  <w:sz w:val="20"/>
                  <w:u w:val="single"/>
                </w:rPr>
                <w:t>Second Amendment, dated June 29, 2023, to the Amended and Restated Loan and Security Agreement, dated December 3, 2021, by and among BuzzFeed, Inc., the borrowers thereto, the guarantors thereto and White Oak Commercial Finance, LLC (incorporated by reference to Exhibit 10.1 to the Company’s Current Report on Form 8-K</w:t>
              </w:r>
            </w:hyperlink>
            <w:hyperlink r:id="rId45">
              <w:r>
                <w:rPr>
                  <w:rStyle w:val="InternetLink"/>
                  <w:rFonts w:ascii="Times New Roman;sans-serif" w:hAnsi="Times New Roman;sans-serif"/>
                  <w:b w:val="false"/>
                  <w:color w:val="000080"/>
                  <w:sz w:val="20"/>
                  <w:u w:val="single"/>
                </w:rPr>
                <w:t xml:space="preserve"> filed on June 30, 2023).</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80"/>
                  <w:sz w:val="20"/>
                  <w:u w:val="single"/>
                </w:rPr>
                <w:t>Third Amendment, dated September 26, 2023, to the Amended and Restated Loan and Security Agreement, dated December 3, 2021, by and among BuzzFeed, Inc., the borrowers thereto, the guarantors thereto and White Oak Commercial Finance, LLC</w:t>
              </w:r>
            </w:hyperlink>
            <w:hyperlink r:id="rId47">
              <w:r>
                <w:rPr>
                  <w:rStyle w:val="InternetLink"/>
                  <w:rFonts w:ascii="Times New Roman;sans-serif" w:hAnsi="Times New Roman;sans-serif"/>
                  <w:b w:val="false"/>
                  <w:color w:val="000080"/>
                  <w:sz w:val="20"/>
                  <w:u w:val="single"/>
                </w:rPr>
                <w:t xml:space="preserve"> (incorporated by reference to </w:t>
              </w:r>
            </w:hyperlink>
            <w:hyperlink r:id="rId48">
              <w:r>
                <w:rPr>
                  <w:rStyle w:val="InternetLink"/>
                  <w:rFonts w:ascii="Times New Roman;sans-serif" w:hAnsi="Times New Roman;sans-serif"/>
                  <w:b w:val="false"/>
                  <w:color w:val="000080"/>
                  <w:sz w:val="20"/>
                  <w:u w:val="single"/>
                </w:rPr>
                <w:t>Exhibit</w:t>
              </w:r>
            </w:hyperlink>
            <w:hyperlink r:id="rId49">
              <w:r>
                <w:rPr>
                  <w:rStyle w:val="InternetLink"/>
                  <w:rFonts w:ascii="Times New Roman;sans-serif" w:hAnsi="Times New Roman;sans-serif"/>
                  <w:b w:val="false"/>
                  <w:color w:val="000080"/>
                  <w:sz w:val="20"/>
                  <w:u w:val="single"/>
                </w:rPr>
                <w:t xml:space="preserve"> 10.1 to the Company</w:t>
              </w:r>
            </w:hyperlink>
            <w:hyperlink r:id="rId50">
              <w:r>
                <w:rPr>
                  <w:rStyle w:val="InternetLink"/>
                  <w:rFonts w:ascii="Times New Roman;sans-serif" w:hAnsi="Times New Roman;sans-serif"/>
                  <w:b w:val="false"/>
                  <w:color w:val="000080"/>
                  <w:sz w:val="20"/>
                  <w:u w:val="single"/>
                </w:rPr>
                <w:t>’</w:t>
              </w:r>
            </w:hyperlink>
            <w:hyperlink r:id="rId51">
              <w:r>
                <w:rPr>
                  <w:rStyle w:val="InternetLink"/>
                  <w:rFonts w:ascii="Times New Roman;sans-serif" w:hAnsi="Times New Roman;sans-serif"/>
                  <w:b w:val="false"/>
                  <w:color w:val="000080"/>
                  <w:sz w:val="20"/>
                  <w:u w:val="single"/>
                </w:rPr>
                <w:t>s Current</w:t>
              </w:r>
            </w:hyperlink>
            <w:hyperlink r:id="rId52">
              <w:r>
                <w:rPr>
                  <w:rStyle w:val="InternetLink"/>
                  <w:rFonts w:ascii="Times New Roman;sans-serif" w:hAnsi="Times New Roman;sans-serif"/>
                  <w:b w:val="false"/>
                  <w:color w:val="000080"/>
                  <w:sz w:val="20"/>
                  <w:u w:val="single"/>
                </w:rPr>
                <w:t xml:space="preserve"> Report on Form 8-K filed on September 29, 2023)</w:t>
              </w:r>
            </w:hyperlink>
            <w:hyperlink r:id="rId53">
              <w:r>
                <w:rPr>
                  <w:rStyle w:val="InternetLink"/>
                  <w:rFonts w:ascii="Times New Roman;sans-serif" w:hAnsi="Times New Roman;sans-serif"/>
                  <w:b w:val="false"/>
                  <w:color w:val="000080"/>
                  <w:sz w:val="20"/>
                  <w:u w:val="single"/>
                </w:rPr>
                <w:t>.</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30930xexx311.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30930xexx312.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30930x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bzfd-20230930x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Schema Document.</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Calculation Linkbase Document.</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Definition Linkbase Document.</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Label Linkbase Document.</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Taxonomy Extension Presentation Linkbase Document.</w:t>
            </w:r>
          </w:p>
        </w:tc>
      </w:tr>
      <w:tr>
        <w:trPr/>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included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Schedules and exhibits to this Exhibit omitted pursuant to Regulation S-K Item 601(b)(2). The Registrant agrees to furnish supplementally a copy of any omitted schedule or exhibit to the SEC upon request.</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The Registrant has omitted portions of this Exhibit as permitted under Item 601(b)(1) of Regulation 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76" w:before="432" w:after="600"/>
        <w:jc w:val="left"/>
        <w:rPr/>
      </w:pPr>
      <w:hyperlink w:anchor="if57629e85fff4a88acfd9f0cadfedaa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66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09"/>
        <w:gridCol w:w="209"/>
        <w:gridCol w:w="209"/>
        <w:gridCol w:w="1411"/>
        <w:gridCol w:w="1411"/>
        <w:gridCol w:w="205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Felicia DellaFortuna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Duly Authorized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Jonah Peretti,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Felicia DellaFortuna,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bl>
      <w:tblPr>
        <w:tblW w:w="3161" w:type="dxa"/>
        <w:jc w:val="left"/>
        <w:tblInd w:w="0" w:type="dxa"/>
        <w:tblLayout w:type="fixed"/>
        <w:tblCellMar>
          <w:top w:w="28" w:type="dxa"/>
          <w:left w:w="28" w:type="dxa"/>
          <w:bottom w:w="28" w:type="dxa"/>
          <w:right w:w="28" w:type="dxa"/>
        </w:tblCellMar>
      </w:tblPr>
      <w:tblGrid>
        <w:gridCol w:w="151"/>
        <w:gridCol w:w="134"/>
        <w:gridCol w:w="135"/>
        <w:gridCol w:w="789"/>
        <w:gridCol w:w="789"/>
        <w:gridCol w:w="791"/>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Felicia DellaFortuna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Felicia DellaFortuna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September 30, 2023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Felicia DellaFortuna,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period ended September 30, 2023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bl>
      <w:tblPr>
        <w:tblW w:w="3161" w:type="dxa"/>
        <w:jc w:val="left"/>
        <w:tblInd w:w="0" w:type="dxa"/>
        <w:tblLayout w:type="fixed"/>
        <w:tblCellMar>
          <w:top w:w="28" w:type="dxa"/>
          <w:left w:w="28" w:type="dxa"/>
          <w:bottom w:w="28" w:type="dxa"/>
          <w:right w:w="28" w:type="dxa"/>
        </w:tblCellMar>
      </w:tblPr>
      <w:tblGrid>
        <w:gridCol w:w="151"/>
        <w:gridCol w:w="134"/>
        <w:gridCol w:w="135"/>
        <w:gridCol w:w="789"/>
        <w:gridCol w:w="789"/>
        <w:gridCol w:w="791"/>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Felicia DellaFortuna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Felicia DellaFortuna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972/000110465921085218/tm2120621d1_ex2-1.htm" TargetMode="External"/><Relationship Id="rId3" Type="http://schemas.openxmlformats.org/officeDocument/2006/relationships/hyperlink" Target="https://www.sec.gov/Archives/edgar/data/1828972/000110465921148188/tm2134844d1_ex3-2.htm" TargetMode="External"/><Relationship Id="rId4" Type="http://schemas.openxmlformats.org/officeDocument/2006/relationships/hyperlink" Target="https://www.sec.gov/Archives/edgar/data/1828972/000110465921148188/tm2134844d1_ex3-2.htm" TargetMode="External"/><Relationship Id="rId5" Type="http://schemas.openxmlformats.org/officeDocument/2006/relationships/hyperlink" Target="https://www.sec.gov/Archives/edgar/data/1828972/000110465921148188/tm2134844d1_ex3-2.htm" TargetMode="External"/><Relationship Id="rId6" Type="http://schemas.openxmlformats.org/officeDocument/2006/relationships/hyperlink" Target="https://www.sec.gov/Archives/edgar/data/1828972/000110465921098380/tm2122219d3_ex2-2.htm" TargetMode="External"/><Relationship Id="rId7" Type="http://schemas.openxmlformats.org/officeDocument/2006/relationships/hyperlink" Target="https://www.sec.gov/Archives/edgar/data/1828972/000110465921148188/tm2134844d1_ex3-2.htm" TargetMode="External"/><Relationship Id="rId8" Type="http://schemas.openxmlformats.org/officeDocument/2006/relationships/hyperlink" Target="https://www.sec.gov/Archives/edgar/data/1828972/000110465921148188/tm2134844d1_ex3-2.htm" TargetMode="External"/><Relationship Id="rId9" Type="http://schemas.openxmlformats.org/officeDocument/2006/relationships/hyperlink" Target="https://www.sec.gov/Archives/edgar/data/1828972/000110465921148188/tm2134844d1_ex3-2.htm" TargetMode="External"/><Relationship Id="rId10" Type="http://schemas.openxmlformats.org/officeDocument/2006/relationships/hyperlink" Target="https://www.sec.gov/Archives/edgar/data/1828972/000110465921098380/tm2122219d3_ex2-3.htm" TargetMode="External"/><Relationship Id="rId11" Type="http://schemas.openxmlformats.org/officeDocument/2006/relationships/hyperlink" Target="https://www.sec.gov/Archives/edgar/data/1828972/000110465921148188/tm2134844d1_ex3-2.htm" TargetMode="External"/><Relationship Id="rId12" Type="http://schemas.openxmlformats.org/officeDocument/2006/relationships/hyperlink" Target="https://www.sec.gov/Archives/edgar/data/1828972/000110465921148188/tm2134844d1_ex3-2.htm" TargetMode="External"/><Relationship Id="rId13" Type="http://schemas.openxmlformats.org/officeDocument/2006/relationships/hyperlink" Target="https://www.sec.gov/Archives/edgar/data/1828972/000110465921148188/tm2134844d1_ex3-1.htm" TargetMode="External"/><Relationship Id="rId14" Type="http://schemas.openxmlformats.org/officeDocument/2006/relationships/hyperlink" Target="https://www.sec.gov/Archives/edgar/data/1828972/000110465921148188/tm2134844d1_ex3-1.htm" TargetMode="External"/><Relationship Id="rId15" Type="http://schemas.openxmlformats.org/officeDocument/2006/relationships/hyperlink" Target="https://www.sec.gov/Archives/edgar/data/1828972/000110465921148188/tm2134844d1_ex3-1.htm" TargetMode="External"/><Relationship Id="rId16" Type="http://schemas.openxmlformats.org/officeDocument/2006/relationships/hyperlink" Target="https://www.sec.gov/Archives/edgar/data/1828972/000182897223000025/exhibit31delaware-buzzfeed.htm" TargetMode="External"/><Relationship Id="rId17" Type="http://schemas.openxmlformats.org/officeDocument/2006/relationships/hyperlink" Target="https://www.sec.gov/Archives/edgar/data/1828972/000182897223000025/exhibit31delaware-buzzfeed.htm" TargetMode="External"/><Relationship Id="rId18" Type="http://schemas.openxmlformats.org/officeDocument/2006/relationships/hyperlink" Target="https://www.sec.gov/Archives/edgar/data/1828972/000182897223000025/exhibit31delaware-buzzfeed.htm" TargetMode="External"/><Relationship Id="rId19" Type="http://schemas.openxmlformats.org/officeDocument/2006/relationships/hyperlink" Target="https://www.sec.gov/Archives/edgar/data/1828972/000182897223000141/exhibit33.htm" TargetMode="External"/><Relationship Id="rId20" Type="http://schemas.openxmlformats.org/officeDocument/2006/relationships/hyperlink" Target="https://www.sec.gov/Archives/edgar/data/1828972/000182897223000141/exhibit33.htm" TargetMode="External"/><Relationship Id="rId21" Type="http://schemas.openxmlformats.org/officeDocument/2006/relationships/hyperlink" Target="https://www.sec.gov/Archives/edgar/data/1828972/000182897223000141/exhibit33.htm" TargetMode="External"/><Relationship Id="rId22" Type="http://schemas.openxmlformats.org/officeDocument/2006/relationships/hyperlink" Target="https://www.sec.gov/Archives/edgar/data/1828972/000182897223000141/exhibit33.htm" TargetMode="External"/><Relationship Id="rId23" Type="http://schemas.openxmlformats.org/officeDocument/2006/relationships/hyperlink" Target="https://www.sec.gov/Archives/edgar/data/1828972/000182897223000141/exhibit33.htm" TargetMode="External"/><Relationship Id="rId24" Type="http://schemas.openxmlformats.org/officeDocument/2006/relationships/hyperlink" Target="https://www.sec.gov/Archives/edgar/data/1828972/000182897223000141/exhibit33.htm" TargetMode="External"/><Relationship Id="rId25" Type="http://schemas.openxmlformats.org/officeDocument/2006/relationships/hyperlink" Target="https://www.sec.gov/Archives/edgar/data/1828972/000182897223000141/exhibit33.htm" TargetMode="External"/><Relationship Id="rId26" Type="http://schemas.openxmlformats.org/officeDocument/2006/relationships/hyperlink" Target="https://www.sec.gov/Archives/edgar/data/1828972/000182897223000141/exhibit33.htm" TargetMode="External"/><Relationship Id="rId27" Type="http://schemas.openxmlformats.org/officeDocument/2006/relationships/hyperlink" Target="https://www.sec.gov/Archives/edgar/data/1828972/000182897223000141/exhibit33.htm" TargetMode="External"/><Relationship Id="rId28" Type="http://schemas.openxmlformats.org/officeDocument/2006/relationships/hyperlink" Target="https://www.sec.gov/Archives/edgar/data/1828972/000182897223000141/exhibit33.htm" TargetMode="External"/><Relationship Id="rId29" Type="http://schemas.openxmlformats.org/officeDocument/2006/relationships/hyperlink" Target="https://www.sec.gov/Archives/edgar/data/1828972/000182897223000141/exhibit33.htm" TargetMode="External"/><Relationship Id="rId30" Type="http://schemas.openxmlformats.org/officeDocument/2006/relationships/hyperlink" Target="https://www.sec.gov/Archives/edgar/data/1828972/000182897223000141/exhibit33.htm" TargetMode="External"/><Relationship Id="rId31" Type="http://schemas.openxmlformats.org/officeDocument/2006/relationships/hyperlink" Target="https://www.sec.gov/Archives/edgar/data/1828972/000182897223000141/exhibit33.htm" TargetMode="External"/><Relationship Id="rId32" Type="http://schemas.openxmlformats.org/officeDocument/2006/relationships/hyperlink" Target="https://www.sec.gov/Archives/edgar/data/1828972/000182897223000141/exhibit33.htm" TargetMode="External"/><Relationship Id="rId33" Type="http://schemas.openxmlformats.org/officeDocument/2006/relationships/hyperlink" Target="https://www.sec.gov/Archives/edgar/data/1828972/000110465921148188/tm2134844d1_ex3-2.htm" TargetMode="External"/><Relationship Id="rId34" Type="http://schemas.openxmlformats.org/officeDocument/2006/relationships/hyperlink" Target="https://www.sec.gov/Archives/edgar/data/1828972/000110465921148188/tm2134844d1_ex3-2.htm" TargetMode="External"/><Relationship Id="rId35" Type="http://schemas.openxmlformats.org/officeDocument/2006/relationships/hyperlink" Target="https://www.sec.gov/Archives/edgar/data/1828972/000110465921148188/tm2134844d1_ex3-2.htm" TargetMode="External"/><Relationship Id="rId36" Type="http://schemas.openxmlformats.org/officeDocument/2006/relationships/hyperlink" Target="https://www.sec.gov/Archives/edgar/data/1828972/000110465921122092/enfa-20211001xex4d1.htm" TargetMode="External"/><Relationship Id="rId37" Type="http://schemas.openxmlformats.org/officeDocument/2006/relationships/hyperlink" Target="https://www.sec.gov/Archives/edgar/data/1828972/000110465921122092/enfa-20211001xex4d1.htm" TargetMode="External"/><Relationship Id="rId38" Type="http://schemas.openxmlformats.org/officeDocument/2006/relationships/hyperlink" Target="https://www.sec.gov/Archives/edgar/data/1828972/000110465921122092/enfa-20211001xex4d1.htm" TargetMode="External"/><Relationship Id="rId39" Type="http://schemas.openxmlformats.org/officeDocument/2006/relationships/hyperlink" Target="https://www.sec.gov/Archives/edgar/data/1828972/000110465921001623/tm2034583d8_ex4-4.htm" TargetMode="External"/><Relationship Id="rId40" Type="http://schemas.openxmlformats.org/officeDocument/2006/relationships/hyperlink" Target="https://www.sec.gov/Archives/edgar/data/1828972/000110465921148188/tm2134844d1_ex4-3.htm" TargetMode="External"/><Relationship Id="rId41" Type="http://schemas.openxmlformats.org/officeDocument/2006/relationships/hyperlink" Target="https://www.sec.gov/Archives/edgar/data/1828972/000110465921148188/tm2134844d1_ex4-3.htm" TargetMode="External"/><Relationship Id="rId42" Type="http://schemas.openxmlformats.org/officeDocument/2006/relationships/hyperlink" Target="https://www.sec.gov/Archives/edgar/data/1828972/000182897223000029/bzfd-20221231xexx45.htm" TargetMode="External"/><Relationship Id="rId43" Type="http://schemas.openxmlformats.org/officeDocument/2006/relationships/hyperlink" Target="https://www.sec.gov/Archives/edgar/data/1828972/000182897223000141/buzzfeed-firstsupplemental.htm" TargetMode="External"/><Relationship Id="rId44" Type="http://schemas.openxmlformats.org/officeDocument/2006/relationships/hyperlink" Target="https://www.sec.gov/Archives/edgar/data/1828972/000182897223000128/secondamendmenttoarloanand.htm" TargetMode="External"/><Relationship Id="rId45" Type="http://schemas.openxmlformats.org/officeDocument/2006/relationships/hyperlink" Target="https://www.sec.gov/Archives/edgar/data/1828972/000182897223000128/secondamendmenttoarloanand.htm" TargetMode="External"/><Relationship Id="rId46" Type="http://schemas.openxmlformats.org/officeDocument/2006/relationships/hyperlink" Target="https://www.sec.gov/Archives/edgar/data/1828972/000182897223000170/thirdamendmenttoarloanands.htm" TargetMode="External"/><Relationship Id="rId47" Type="http://schemas.openxmlformats.org/officeDocument/2006/relationships/hyperlink" Target="https://www.sec.gov/Archives/edgar/data/1828972/000182897223000170/thirdamendmenttoarloanands.htm" TargetMode="External"/><Relationship Id="rId48" Type="http://schemas.openxmlformats.org/officeDocument/2006/relationships/hyperlink" Target="https://www.sec.gov/Archives/edgar/data/1828972/000182897223000170/thirdamendmenttoarloanands.htm" TargetMode="External"/><Relationship Id="rId49" Type="http://schemas.openxmlformats.org/officeDocument/2006/relationships/hyperlink" Target="https://www.sec.gov/Archives/edgar/data/1828972/000182897223000170/thirdamendmenttoarloanands.htm" TargetMode="External"/><Relationship Id="rId50" Type="http://schemas.openxmlformats.org/officeDocument/2006/relationships/hyperlink" Target="https://www.sec.gov/Archives/edgar/data/1828972/000182897223000170/thirdamendmenttoarloanands.htm" TargetMode="External"/><Relationship Id="rId51" Type="http://schemas.openxmlformats.org/officeDocument/2006/relationships/hyperlink" Target="https://www.sec.gov/Archives/edgar/data/1828972/000182897223000170/thirdamendmenttoarloanands.htm" TargetMode="External"/><Relationship Id="rId52" Type="http://schemas.openxmlformats.org/officeDocument/2006/relationships/hyperlink" Target="https://www.sec.gov/Archives/edgar/data/1828972/000182897223000170/thirdamendmenttoarloanands.htm" TargetMode="External"/><Relationship Id="rId53" Type="http://schemas.openxmlformats.org/officeDocument/2006/relationships/hyperlink" Target="https://www.sec.gov/Archives/edgar/data/1828972/000182897223000170/thirdamendmenttoarloanands.htm" TargetMode="External"/><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32699</Words>
  <Characters>180574</Characters>
  <CharactersWithSpaces>211234</CharactersWithSpaces>
  <Paragraphs>3724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