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18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FORM 10-Q</w:t>
      </w:r>
    </w:p>
    <w:p>
      <w:pPr>
        <w:spacing w:after="0" w:line="198"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09" w:lineRule="exact"/>
        <w:rPr>
          <w:sz w:val="24"/>
          <w:szCs w:val="24"/>
          <w:color w:val="auto"/>
        </w:rPr>
      </w:pPr>
    </w:p>
    <w:p>
      <w:pPr>
        <w:ind w:left="3350" w:right="1800" w:hanging="3350"/>
        <w:spacing w:after="0" w:line="258" w:lineRule="auto"/>
        <w:tabs>
          <w:tab w:leader="none" w:pos="196"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143"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or</w:t>
      </w:r>
    </w:p>
    <w:p>
      <w:pPr>
        <w:spacing w:after="0" w:line="10" w:lineRule="exact"/>
        <w:rPr>
          <w:sz w:val="24"/>
          <w:szCs w:val="24"/>
          <w:color w:val="auto"/>
        </w:rPr>
      </w:pPr>
    </w:p>
    <w:p>
      <w:pPr>
        <w:ind w:left="190" w:hanging="190"/>
        <w:spacing w:after="0"/>
        <w:tabs>
          <w:tab w:leader="none" w:pos="19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3270"/>
        <w:spacing w:after="0"/>
        <w:tabs>
          <w:tab w:leader="none" w:pos="611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3432175</wp:posOffset>
            </wp:positionH>
            <wp:positionV relativeFrom="paragraph">
              <wp:posOffset>-15875</wp:posOffset>
            </wp:positionV>
            <wp:extent cx="985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43"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b w:val="1"/>
          <w:bCs w:val="1"/>
          <w:u w:val="single" w:color="auto"/>
          <w:color w:val="auto"/>
        </w:rPr>
        <w:t>001-39877</w:t>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890 5th Avenue Partners, Inc.</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70" w:type="dxa"/>
        <w:tblCellMar>
          <w:top w:w="0" w:type="dxa"/>
          <w:left w:w="0" w:type="dxa"/>
          <w:bottom w:w="0" w:type="dxa"/>
          <w:right w:w="0" w:type="dxa"/>
        </w:tblCellMar>
      </w:tblPr>
      <w:tr>
        <w:trPr>
          <w:trHeight w:val="207"/>
        </w:trPr>
        <w:tc>
          <w:tcPr>
            <w:tcW w:w="4840" w:type="dxa"/>
            <w:vAlign w:val="bottom"/>
          </w:tcPr>
          <w:p>
            <w:pPr>
              <w:jc w:val="center"/>
              <w:ind w:right="899"/>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right"/>
              <w:ind w:right="859"/>
              <w:spacing w:after="0"/>
              <w:rPr>
                <w:sz w:val="20"/>
                <w:szCs w:val="20"/>
                <w:color w:val="auto"/>
              </w:rPr>
            </w:pPr>
            <w:r>
              <w:rPr>
                <w:rFonts w:ascii="Arial" w:cs="Arial" w:eastAsia="Arial" w:hAnsi="Arial"/>
                <w:sz w:val="16"/>
                <w:szCs w:val="16"/>
                <w:b w:val="1"/>
                <w:bCs w:val="1"/>
                <w:color w:val="auto"/>
              </w:rPr>
              <w:t>85-3022075</w:t>
            </w:r>
          </w:p>
        </w:tc>
      </w:tr>
      <w:tr>
        <w:trPr>
          <w:trHeight w:val="206"/>
        </w:trPr>
        <w:tc>
          <w:tcPr>
            <w:tcW w:w="4840" w:type="dxa"/>
            <w:vAlign w:val="bottom"/>
          </w:tcPr>
          <w:p>
            <w:pPr>
              <w:jc w:val="center"/>
              <w:ind w:right="8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640" w:type="dxa"/>
            <w:vAlign w:val="bottom"/>
          </w:tcPr>
          <w:p>
            <w:pPr>
              <w:jc w:val="center"/>
              <w:ind w:left="899"/>
              <w:spacing w:after="0"/>
              <w:rPr>
                <w:sz w:val="20"/>
                <w:szCs w:val="20"/>
                <w:color w:val="auto"/>
              </w:rPr>
            </w:pPr>
            <w:r>
              <w:rPr>
                <w:rFonts w:ascii="Arial" w:cs="Arial" w:eastAsia="Arial" w:hAnsi="Arial"/>
                <w:sz w:val="16"/>
                <w:szCs w:val="16"/>
                <w:color w:val="auto"/>
                <w:w w:val="95"/>
              </w:rPr>
              <w:t>(I.R.S. Employer Identification Number)</w:t>
            </w:r>
          </w:p>
        </w:tc>
      </w:tr>
      <w:tr>
        <w:trPr>
          <w:trHeight w:val="532"/>
        </w:trPr>
        <w:tc>
          <w:tcPr>
            <w:tcW w:w="4840" w:type="dxa"/>
            <w:vAlign w:val="bottom"/>
          </w:tcPr>
          <w:p>
            <w:pPr>
              <w:ind w:left="1280"/>
              <w:spacing w:after="0"/>
              <w:rPr>
                <w:sz w:val="20"/>
                <w:szCs w:val="20"/>
                <w:color w:val="auto"/>
              </w:rPr>
            </w:pPr>
            <w:r>
              <w:rPr>
                <w:rFonts w:ascii="Arial" w:cs="Arial" w:eastAsia="Arial" w:hAnsi="Arial"/>
                <w:sz w:val="16"/>
                <w:szCs w:val="16"/>
                <w:b w:val="1"/>
                <w:bCs w:val="1"/>
                <w:color w:val="auto"/>
              </w:rPr>
              <w:t>14 Elm Place, Suite 206</w:t>
            </w:r>
          </w:p>
        </w:tc>
        <w:tc>
          <w:tcPr>
            <w:tcW w:w="3640" w:type="dxa"/>
            <w:vAlign w:val="bottom"/>
          </w:tcPr>
          <w:p>
            <w:pPr>
              <w:spacing w:after="0"/>
              <w:rPr>
                <w:sz w:val="24"/>
                <w:szCs w:val="24"/>
                <w:color w:val="auto"/>
              </w:rPr>
            </w:pPr>
          </w:p>
        </w:tc>
      </w:tr>
      <w:tr>
        <w:trPr>
          <w:trHeight w:val="207"/>
        </w:trPr>
        <w:tc>
          <w:tcPr>
            <w:tcW w:w="4840" w:type="dxa"/>
            <w:vAlign w:val="bottom"/>
          </w:tcPr>
          <w:p>
            <w:pPr>
              <w:jc w:val="center"/>
              <w:ind w:right="899"/>
              <w:spacing w:after="0"/>
              <w:rPr>
                <w:sz w:val="20"/>
                <w:szCs w:val="20"/>
                <w:color w:val="auto"/>
              </w:rPr>
            </w:pPr>
            <w:r>
              <w:rPr>
                <w:rFonts w:ascii="Arial" w:cs="Arial" w:eastAsia="Arial" w:hAnsi="Arial"/>
                <w:sz w:val="16"/>
                <w:szCs w:val="16"/>
                <w:b w:val="1"/>
                <w:bCs w:val="1"/>
                <w:color w:val="auto"/>
                <w:w w:val="95"/>
              </w:rPr>
              <w:t>Rye, NY</w:t>
            </w:r>
          </w:p>
        </w:tc>
        <w:tc>
          <w:tcPr>
            <w:tcW w:w="3640" w:type="dxa"/>
            <w:vAlign w:val="bottom"/>
          </w:tcPr>
          <w:p>
            <w:pPr>
              <w:jc w:val="right"/>
              <w:ind w:right="1039"/>
              <w:spacing w:after="0"/>
              <w:rPr>
                <w:sz w:val="20"/>
                <w:szCs w:val="20"/>
                <w:color w:val="auto"/>
              </w:rPr>
            </w:pPr>
            <w:r>
              <w:rPr>
                <w:rFonts w:ascii="Arial" w:cs="Arial" w:eastAsia="Arial" w:hAnsi="Arial"/>
                <w:sz w:val="16"/>
                <w:szCs w:val="16"/>
                <w:b w:val="1"/>
                <w:bCs w:val="1"/>
                <w:color w:val="auto"/>
              </w:rPr>
              <w:t>10580</w:t>
            </w:r>
          </w:p>
        </w:tc>
      </w:tr>
      <w:tr>
        <w:trPr>
          <w:trHeight w:val="206"/>
        </w:trPr>
        <w:tc>
          <w:tcPr>
            <w:tcW w:w="4840" w:type="dxa"/>
            <w:vAlign w:val="bottom"/>
          </w:tcPr>
          <w:p>
            <w:pPr>
              <w:jc w:val="center"/>
              <w:ind w:right="899"/>
              <w:spacing w:after="0"/>
              <w:rPr>
                <w:sz w:val="20"/>
                <w:szCs w:val="20"/>
                <w:color w:val="auto"/>
              </w:rPr>
            </w:pPr>
            <w:r>
              <w:rPr>
                <w:rFonts w:ascii="Arial" w:cs="Arial" w:eastAsia="Arial" w:hAnsi="Arial"/>
                <w:sz w:val="16"/>
                <w:szCs w:val="16"/>
                <w:color w:val="auto"/>
                <w:w w:val="94"/>
              </w:rPr>
              <w:t>(Address of principal executive offices)</w:t>
            </w:r>
          </w:p>
        </w:tc>
        <w:tc>
          <w:tcPr>
            <w:tcW w:w="3640" w:type="dxa"/>
            <w:vAlign w:val="bottom"/>
          </w:tcPr>
          <w:p>
            <w:pPr>
              <w:jc w:val="center"/>
              <w:ind w:left="899"/>
              <w:spacing w:after="0"/>
              <w:rPr>
                <w:sz w:val="20"/>
                <w:szCs w:val="20"/>
                <w:color w:val="auto"/>
              </w:rPr>
            </w:pPr>
            <w:r>
              <w:rPr>
                <w:rFonts w:ascii="Arial" w:cs="Arial" w:eastAsia="Arial" w:hAnsi="Arial"/>
                <w:sz w:val="16"/>
                <w:szCs w:val="16"/>
                <w:color w:val="auto"/>
                <w:w w:val="92"/>
              </w:rPr>
              <w:t>(Zip Code)</w:t>
            </w:r>
          </w:p>
        </w:tc>
      </w:tr>
    </w:tbl>
    <w:p>
      <w:pPr>
        <w:spacing w:after="0" w:line="10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(575) 914-6575</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1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ind w:left="245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96"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4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Title of Each Class:</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185"/>
        </w:trPr>
        <w:tc>
          <w:tcPr>
            <w:tcW w:w="4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Shares of Class A Common Stock, par value $0.0001 per</w:t>
            </w:r>
          </w:p>
        </w:tc>
        <w:tc>
          <w:tcPr>
            <w:tcW w:w="2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ENFA</w:t>
            </w:r>
          </w:p>
        </w:tc>
        <w:tc>
          <w:tcPr>
            <w:tcW w:w="16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6"/>
        </w:trPr>
        <w:tc>
          <w:tcPr>
            <w:tcW w:w="43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share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189"/>
        </w:trPr>
        <w:tc>
          <w:tcPr>
            <w:tcW w:w="4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Redeemable Warrants, each whole warrant exercisable for</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ENFAW</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3"/>
        </w:trPr>
        <w:tc>
          <w:tcPr>
            <w:tcW w:w="4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one share of Class A Common Stock for $11.50 per share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92"/>
        </w:trPr>
        <w:tc>
          <w:tcPr>
            <w:tcW w:w="436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88"/>
              </w:rPr>
              <w:t>Units, each consisting of one share of Class A Common</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rPr>
              <w:t>ENFAU</w:t>
            </w:r>
          </w:p>
        </w:tc>
        <w:tc>
          <w:tcPr>
            <w:tcW w:w="3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6"/>
        </w:trPr>
        <w:tc>
          <w:tcPr>
            <w:tcW w:w="43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1"/>
              </w:rPr>
              <w:t>Stock and one-third of one Redeemable Warrant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bl>
    <w:p>
      <w:pPr>
        <w:spacing w:after="0" w:line="85"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1280" w:type="dxa"/>
            <w:vAlign w:val="bottom"/>
          </w:tcPr>
          <w:p>
            <w:pPr>
              <w:ind w:left="114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3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4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1280" w:type="dxa"/>
            <w:vAlign w:val="bottom"/>
          </w:tcPr>
          <w:p>
            <w:pPr>
              <w:ind w:left="114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3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30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1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10" w:firstLine="324"/>
        <w:spacing w:after="0" w:line="293" w:lineRule="auto"/>
        <w:rPr>
          <w:sz w:val="20"/>
          <w:szCs w:val="20"/>
          <w:color w:val="auto"/>
        </w:rPr>
      </w:pPr>
      <w:r>
        <w:rPr>
          <w:rFonts w:ascii="Arial" w:cs="Arial" w:eastAsia="Arial" w:hAnsi="Arial"/>
          <w:sz w:val="16"/>
          <w:szCs w:val="16"/>
          <w:color w:val="auto"/>
        </w:rPr>
        <w:t>As of November 10, 2021, 29,527,500 shares of Class A common stock, par value $0.0001 per share, and 7,187,500 shares of Class F common stock, par value $0.0001 per share, were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9"/>
        </w:trPr>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10"/>
          </w:tcPr>
          <w:p>
            <w:pPr>
              <w:jc w:val="center"/>
              <w:ind w:right="2320"/>
              <w:spacing w:after="0"/>
              <w:rPr>
                <w:sz w:val="20"/>
                <w:szCs w:val="20"/>
                <w:color w:val="auto"/>
              </w:rPr>
            </w:pPr>
            <w:r>
              <w:rPr>
                <w:rFonts w:ascii="Arial" w:cs="Arial" w:eastAsia="Arial" w:hAnsi="Arial"/>
                <w:sz w:val="18"/>
                <w:szCs w:val="18"/>
                <w:b w:val="1"/>
                <w:bCs w:val="1"/>
                <w:color w:val="auto"/>
                <w:w w:val="96"/>
              </w:rPr>
              <w:t>890 5TH AVENUE PARTNERS, INC.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4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5"/>
              </w:rPr>
              <w:t>Form 10-Q</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89"/>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40" w:type="dxa"/>
            <w:vAlign w:val="bottom"/>
            <w:gridSpan w:val="25"/>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Balance Sheets as of September 30, 2021 (Unaudited) and December 31, 2020</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0" w:type="dxa"/>
            <w:vAlign w:val="bottom"/>
            <w:gridSpan w:val="21"/>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Condensed Consolidated Statements of Operations for the Three and Nine Months Ended</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2021</w:t>
              </w:r>
            </w:hyperlink>
          </w:p>
        </w:tc>
        <w:tc>
          <w:tcPr>
            <w:tcW w:w="760" w:type="dxa"/>
            <w:vAlign w:val="bottom"/>
            <w:tcBorders>
              <w:top w:val="single" w:sz="8" w:color="CCEEFF"/>
            </w:tcBorders>
            <w:gridSpan w:val="3"/>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Changes in Stockholders’ Equity (Deficit) for the Three and</w:t>
              </w:r>
            </w:hyperlink>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0" w:type="dxa"/>
            <w:vAlign w:val="bottom"/>
            <w:gridSpan w:val="21"/>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2021</w:t>
              </w:r>
            </w:hyperlink>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Unaudited Condensed Consolidated Statements of Cash Flows for the Nine Months Ended September 30,</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2021</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152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7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4.</w:t>
              </w:r>
            </w:hyperlink>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6220" w:type="dxa"/>
            <w:vAlign w:val="bottom"/>
            <w:tcBorders>
              <w:bottom w:val="single" w:sz="8" w:color="CCEEFF"/>
            </w:tcBorders>
            <w:gridSpan w:val="1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4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 from Registered Securities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8000" w:type="dxa"/>
            <w:vAlign w:val="bottom"/>
            <w:gridSpan w:val="2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222"/>
        </w:trPr>
        <w:tc>
          <w:tcPr>
            <w:tcW w:w="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8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September 30, 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59,820</w:t>
            </w:r>
          </w:p>
        </w:tc>
        <w:tc>
          <w:tcPr>
            <w:tcW w:w="3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549,821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609,641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Investments held in Trust Account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287,510,994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offering costs associated with the initial public offering</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338,798</w:t>
            </w:r>
          </w:p>
        </w:tc>
        <w:tc>
          <w:tcPr>
            <w:tcW w:w="0" w:type="dxa"/>
            <w:vAlign w:val="bottom"/>
          </w:tcPr>
          <w:p>
            <w:pPr>
              <w:spacing w:after="0"/>
              <w:rPr>
                <w:sz w:val="1"/>
                <w:szCs w:val="1"/>
                <w:color w:val="auto"/>
              </w:rPr>
            </w:pPr>
          </w:p>
        </w:tc>
      </w:tr>
      <w:tr>
        <w:trPr>
          <w:trHeight w:val="182"/>
        </w:trPr>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288,120,635</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547,394</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5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5500" w:type="dxa"/>
            <w:vAlign w:val="bottom"/>
          </w:tcPr>
          <w:p>
            <w:pPr>
              <w:spacing w:after="0" w:line="126" w:lineRule="exact"/>
              <w:rPr>
                <w:sz w:val="20"/>
                <w:szCs w:val="20"/>
                <w:color w:val="auto"/>
              </w:rPr>
            </w:pPr>
            <w:r>
              <w:rPr>
                <w:rFonts w:ascii="Arial" w:cs="Arial" w:eastAsia="Arial" w:hAnsi="Arial"/>
                <w:sz w:val="14"/>
                <w:szCs w:val="14"/>
                <w:b w:val="1"/>
                <w:bCs w:val="1"/>
                <w:color w:val="auto"/>
                <w:w w:val="95"/>
              </w:rPr>
              <w:t>Liabilities, Class A Common Stock Subject to Possible Redemption and Stockholders'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ind w:left="100"/>
              <w:spacing w:after="0"/>
              <w:rPr>
                <w:sz w:val="20"/>
                <w:szCs w:val="20"/>
                <w:color w:val="auto"/>
              </w:rPr>
            </w:pPr>
            <w:r>
              <w:rPr>
                <w:rFonts w:ascii="Arial" w:cs="Arial" w:eastAsia="Arial" w:hAnsi="Arial"/>
                <w:sz w:val="14"/>
                <w:szCs w:val="14"/>
                <w:b w:val="1"/>
                <w:bCs w:val="1"/>
                <w:color w:val="auto"/>
              </w:rPr>
              <w:t>Equity (Deficit):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469,346</w:t>
            </w:r>
          </w:p>
        </w:tc>
        <w:tc>
          <w:tcPr>
            <w:tcW w:w="3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120,269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Arial" w:cs="Arial" w:eastAsia="Arial" w:hAnsi="Arial"/>
                <w:sz w:val="14"/>
                <w:szCs w:val="14"/>
                <w:color w:val="auto"/>
              </w:rPr>
              <w:t>Franchise tax payable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149,589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Advances from related party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Arial" w:cs="Arial" w:eastAsia="Arial" w:hAnsi="Arial"/>
                <w:sz w:val="14"/>
                <w:szCs w:val="14"/>
                <w:color w:val="auto"/>
              </w:rPr>
              <w:t>Note payable - related party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Working capital loan - related party</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1,688,935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533,700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liabilities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12,214,442</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13,903,377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533,700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 (Note 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500" w:type="dxa"/>
            <w:vAlign w:val="bottom"/>
          </w:tcPr>
          <w:p>
            <w:pPr>
              <w:spacing w:after="0" w:line="130" w:lineRule="exact"/>
              <w:rPr>
                <w:sz w:val="20"/>
                <w:szCs w:val="20"/>
                <w:color w:val="auto"/>
              </w:rPr>
            </w:pPr>
            <w:r>
              <w:rPr>
                <w:rFonts w:ascii="Arial" w:cs="Arial" w:eastAsia="Arial" w:hAnsi="Arial"/>
                <w:sz w:val="14"/>
                <w:szCs w:val="14"/>
                <w:color w:val="auto"/>
                <w:w w:val="95"/>
              </w:rPr>
              <w:t>Class A common stock subject to possible redemption, $0.0001 par value; 28,750,000 and 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100"/>
              <w:spacing w:after="0" w:line="149" w:lineRule="exact"/>
              <w:rPr>
                <w:sz w:val="20"/>
                <w:szCs w:val="20"/>
                <w:color w:val="auto"/>
              </w:rPr>
            </w:pPr>
            <w:r>
              <w:rPr>
                <w:rFonts w:ascii="Arial" w:cs="Arial" w:eastAsia="Arial" w:hAnsi="Arial"/>
                <w:sz w:val="14"/>
                <w:szCs w:val="14"/>
                <w:color w:val="auto"/>
                <w:w w:val="95"/>
              </w:rPr>
              <w:t>shares at $10.00 per share redemption value as of September 30, 2021 and 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ind w:left="100"/>
              <w:spacing w:after="0"/>
              <w:rPr>
                <w:sz w:val="20"/>
                <w:szCs w:val="20"/>
                <w:color w:val="auto"/>
              </w:rPr>
            </w:pPr>
            <w:r>
              <w:rPr>
                <w:rFonts w:ascii="Arial" w:cs="Arial" w:eastAsia="Arial" w:hAnsi="Arial"/>
                <w:sz w:val="14"/>
                <w:szCs w:val="14"/>
                <w:color w:val="auto"/>
              </w:rPr>
              <w:t>2020, respectively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287,500,000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Preferred stock, $0.0001 par value; 5,000,000 shares authorized; none issued and outstanding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 of September 30, 2021 and December 31, 2020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00" w:type="dxa"/>
            <w:vAlign w:val="bottom"/>
          </w:tcPr>
          <w:p>
            <w:pPr>
              <w:spacing w:after="0" w:line="130" w:lineRule="exact"/>
              <w:rPr>
                <w:sz w:val="20"/>
                <w:szCs w:val="20"/>
                <w:color w:val="auto"/>
              </w:rPr>
            </w:pPr>
            <w:r>
              <w:rPr>
                <w:rFonts w:ascii="Arial" w:cs="Arial" w:eastAsia="Arial" w:hAnsi="Arial"/>
                <w:sz w:val="14"/>
                <w:szCs w:val="14"/>
                <w:color w:val="auto"/>
                <w:w w:val="96"/>
              </w:rPr>
              <w:t>Class A common stock, $0.0001 par value; 500,000,000 shares authorized; 777,500 issued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100"/>
              <w:spacing w:after="0" w:line="149" w:lineRule="exact"/>
              <w:rPr>
                <w:sz w:val="20"/>
                <w:szCs w:val="20"/>
                <w:color w:val="auto"/>
              </w:rPr>
            </w:pPr>
            <w:r>
              <w:rPr>
                <w:rFonts w:ascii="Arial" w:cs="Arial" w:eastAsia="Arial" w:hAnsi="Arial"/>
                <w:sz w:val="14"/>
                <w:szCs w:val="14"/>
                <w:color w:val="auto"/>
              </w:rPr>
              <w:t>and outstanding (excluding 28,750,000 shares subject to possible redemption) as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ind w:left="100"/>
              <w:spacing w:after="0"/>
              <w:rPr>
                <w:sz w:val="20"/>
                <w:szCs w:val="20"/>
                <w:color w:val="auto"/>
              </w:rPr>
            </w:pPr>
            <w:r>
              <w:rPr>
                <w:rFonts w:ascii="Arial" w:cs="Arial" w:eastAsia="Arial" w:hAnsi="Arial"/>
                <w:sz w:val="14"/>
                <w:szCs w:val="14"/>
                <w:color w:val="auto"/>
              </w:rPr>
              <w:t>September 30, 2021 and none at December 31, 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Class F common stock, $0.0001 par value; 25,000,000 shares authorized; 7,187,500 shares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issued and outstanding as of September 30, 2021 and December 31, 2020 (1)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24,281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(13,283,539)</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stockholder's equity (deficit)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(13,282,742)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13,694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0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Liabilities, Class A Common Stock Subject to Possible Redemption and</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288,120,635</w:t>
            </w:r>
          </w:p>
        </w:tc>
        <w:tc>
          <w:tcPr>
            <w:tcW w:w="340" w:type="dxa"/>
            <w:vAlign w:val="bottom"/>
            <w:gridSpan w:val="2"/>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547,394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00" w:type="dxa"/>
            <w:vAlign w:val="bottom"/>
            <w:shd w:val="clear" w:color="auto" w:fill="CCEEFF"/>
          </w:tcPr>
          <w:p>
            <w:pPr>
              <w:ind w:left="100"/>
              <w:spacing w:after="0" w:line="158" w:lineRule="exact"/>
              <w:rPr>
                <w:sz w:val="20"/>
                <w:szCs w:val="20"/>
                <w:color w:val="auto"/>
              </w:rPr>
            </w:pPr>
            <w:r>
              <w:rPr>
                <w:rFonts w:ascii="Arial" w:cs="Arial" w:eastAsia="Arial" w:hAnsi="Arial"/>
                <w:sz w:val="14"/>
                <w:szCs w:val="14"/>
                <w:b w:val="1"/>
                <w:bCs w:val="1"/>
                <w:color w:val="auto"/>
              </w:rPr>
              <w:t>Stockholders' Equity (Deficit)</w:t>
            </w:r>
          </w:p>
        </w:tc>
        <w:tc>
          <w:tcPr>
            <w:tcW w:w="240" w:type="dxa"/>
            <w:vAlign w:val="bottom"/>
            <w:gridSpan w:val="2"/>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As of December 31, 2020, includes up to 937,500 shares of Class F common stock subject to forfeiture if the over-allotment option was not exercised in full or in part by the underwriters. On January 14, 2021, the over-allotment option was exercised in full. Thus, none of these shares were forfeited.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For the Three Months Ended</w:t>
            </w:r>
          </w:p>
        </w:tc>
        <w:tc>
          <w:tcPr>
            <w:tcW w:w="2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September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416,535</w:t>
            </w: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2,317,651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Administrative fee - related party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Franchise tax expense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(loss)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80"/>
              <w:spacing w:after="0" w:line="201" w:lineRule="exact"/>
              <w:rPr>
                <w:sz w:val="20"/>
                <w:szCs w:val="20"/>
                <w:color w:val="auto"/>
              </w:rPr>
            </w:pPr>
            <w:r>
              <w:rPr>
                <w:rFonts w:ascii="Arial" w:cs="Arial" w:eastAsia="Arial" w:hAnsi="Arial"/>
                <w:sz w:val="18"/>
                <w:szCs w:val="18"/>
                <w:color w:val="auto"/>
              </w:rPr>
              <w:t>Offering costs associated with issuance of public and private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gain from investments held in Trust Account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0" w:type="dxa"/>
            <w:vAlign w:val="bottom"/>
          </w:tcPr>
          <w:p>
            <w:pPr>
              <w:spacing w:after="0"/>
              <w:rPr>
                <w:sz w:val="1"/>
                <w:szCs w:val="1"/>
                <w:color w:val="auto"/>
              </w:rPr>
            </w:pPr>
          </w:p>
        </w:tc>
      </w:tr>
      <w:tr>
        <w:trPr>
          <w:trHeight w:val="250"/>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(414,330)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(3,674,779)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0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Weighted average shares outstanding of Class A common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29,527,500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28,121,429</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w w:val="96"/>
              </w:rPr>
              <w:t>Basic and diluted net loss per share, Class A common stock</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0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Weighted average shares outstanding of Class F common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7,187,500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7,142,857</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w w:val="96"/>
              </w:rPr>
              <w:t>Basic and diluted net loss per share, Class F common stock</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900" w:type="dxa"/>
            <w:vAlign w:val="bottom"/>
            <w:tcBorders>
              <w:bottom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w w:val="93"/>
              </w:rPr>
              <w:t>Class A</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69"/>
              <w:spacing w:after="0" w:line="142" w:lineRule="exact"/>
              <w:rPr>
                <w:sz w:val="20"/>
                <w:szCs w:val="20"/>
                <w:color w:val="auto"/>
              </w:rPr>
            </w:pPr>
            <w:r>
              <w:rPr>
                <w:rFonts w:ascii="Arial" w:cs="Arial" w:eastAsia="Arial" w:hAnsi="Arial"/>
                <w:sz w:val="14"/>
                <w:szCs w:val="14"/>
                <w:b w:val="1"/>
                <w:bCs w:val="1"/>
                <w:color w:val="auto"/>
              </w:rPr>
              <w:t>Class F</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620" w:type="dxa"/>
            <w:vAlign w:val="bottom"/>
          </w:tcPr>
          <w:p>
            <w:pPr>
              <w:jc w:val="right"/>
              <w:ind w:right="41"/>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Shares (1)</w:t>
            </w: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9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December 31,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24,281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(11,306)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13,694</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20"/>
                <w:szCs w:val="20"/>
                <w:color w:val="auto"/>
              </w:rPr>
            </w:pPr>
            <w:r>
              <w:rPr>
                <w:rFonts w:ascii="Arial" w:cs="Arial" w:eastAsia="Arial" w:hAnsi="Arial"/>
                <w:sz w:val="16"/>
                <w:szCs w:val="16"/>
                <w:color w:val="auto"/>
              </w:rPr>
              <w:t>Sale of units in private placement,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20"/>
              <w:spacing w:after="0"/>
              <w:rPr>
                <w:sz w:val="20"/>
                <w:szCs w:val="20"/>
                <w:color w:val="auto"/>
              </w:rPr>
            </w:pPr>
            <w:r>
              <w:rPr>
                <w:rFonts w:ascii="Arial" w:cs="Arial" w:eastAsia="Arial" w:hAnsi="Arial"/>
                <w:sz w:val="16"/>
                <w:szCs w:val="16"/>
                <w:color w:val="auto"/>
              </w:rPr>
              <w:t>less derivative liabilities for</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120"/>
              <w:spacing w:after="0"/>
              <w:rPr>
                <w:sz w:val="20"/>
                <w:szCs w:val="20"/>
                <w:color w:val="auto"/>
              </w:rPr>
            </w:pPr>
            <w:r>
              <w:rPr>
                <w:rFonts w:ascii="Arial" w:cs="Arial" w:eastAsia="Arial" w:hAnsi="Arial"/>
                <w:sz w:val="16"/>
                <w:szCs w:val="16"/>
                <w:color w:val="auto"/>
              </w:rPr>
              <w:t>private placement warrants</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777,500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7,484,113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7,484,191</w:t>
            </w:r>
          </w:p>
        </w:tc>
        <w:tc>
          <w:tcPr>
            <w:tcW w:w="0" w:type="dxa"/>
            <w:vAlign w:val="bottom"/>
          </w:tcPr>
          <w:p>
            <w:pPr>
              <w:spacing w:after="0"/>
              <w:rPr>
                <w:sz w:val="1"/>
                <w:szCs w:val="1"/>
                <w:color w:val="auto"/>
              </w:rPr>
            </w:pP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Accretion on Class A common</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subject to possible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redemption amount - restated, see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 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(9,597,454)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(17,105,848)</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Net income</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1,040,995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1,040,995</w:t>
            </w:r>
          </w:p>
        </w:tc>
        <w:tc>
          <w:tcPr>
            <w:tcW w:w="0" w:type="dxa"/>
            <w:vAlign w:val="bottom"/>
          </w:tcPr>
          <w:p>
            <w:pPr>
              <w:spacing w:after="0"/>
              <w:rPr>
                <w:sz w:val="1"/>
                <w:szCs w:val="1"/>
                <w:color w:val="auto"/>
              </w:rPr>
            </w:pPr>
          </w:p>
        </w:tc>
      </w:tr>
      <w:tr>
        <w:trPr>
          <w:trHeight w:val="169"/>
        </w:trPr>
        <w:tc>
          <w:tcPr>
            <w:tcW w:w="2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March 31, 2021</w:t>
            </w: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w w:val="97"/>
              </w:rPr>
              <w:t>(unaudited) - restated, see Note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777,500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78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(8,567,765)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(8,566,968)</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Net loss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(4,301,444)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(4,301,444)</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2021</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w w:val="97"/>
              </w:rPr>
              <w:t>(unaudited) - restated, see Note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777,500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78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(12,869,209)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(12,868,412)</w:t>
            </w: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(414,330)</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September 30, 2021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777,500</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380" w:type="dxa"/>
            <w:vAlign w:val="bottom"/>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78</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7,187,500</w:t>
            </w:r>
          </w:p>
        </w:tc>
        <w:tc>
          <w:tcPr>
            <w:tcW w:w="30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719</w:t>
            </w:r>
          </w:p>
        </w:tc>
        <w:tc>
          <w:tcPr>
            <w:tcW w:w="380" w:type="dxa"/>
            <w:vAlign w:val="bottom"/>
            <w:gridSpan w:val="2"/>
            <w:vMerge w:val="restart"/>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(13,283,539)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(13,282,742)</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(unaudited)</w:t>
            </w:r>
          </w:p>
        </w:tc>
        <w:tc>
          <w:tcPr>
            <w:tcW w:w="6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79" w:hanging="330"/>
        <w:spacing w:after="0" w:line="286"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As of December 31, 2020, and September 30, 2020, includes up to 937,500 shares of Class F common stock subject to forfeiture if the over-allotment option was not exercised in full or in part by the underwriters. On January 14, 2021, the over-allotment option was exercised in full. Thus, none of these shares were forfeited.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 OF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Unrealized gain from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Offering costs associated with issuance of public and private warrants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Franchise tax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deposited in Trust Account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right="2637"/>
        <w:spacing w:after="0" w:line="265" w:lineRule="auto"/>
        <w:rPr>
          <w:sz w:val="20"/>
          <w:szCs w:val="20"/>
          <w:color w:val="auto"/>
        </w:rPr>
      </w:pPr>
      <w:r>
        <w:rPr>
          <w:rFonts w:ascii="Arial" w:cs="Arial" w:eastAsia="Arial" w:hAnsi="Arial"/>
          <w:sz w:val="17"/>
          <w:szCs w:val="17"/>
          <w:color w:val="auto"/>
        </w:rPr>
        <w:t>Proceeds received from initial public offering, gross 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1917"/>
        <w:spacing w:after="0" w:line="250" w:lineRule="auto"/>
        <w:rPr>
          <w:sz w:val="20"/>
          <w:szCs w:val="20"/>
          <w:color w:val="auto"/>
        </w:rPr>
      </w:pPr>
      <w:r>
        <w:rPr>
          <w:rFonts w:ascii="Arial" w:cs="Arial" w:eastAsia="Arial" w:hAnsi="Arial"/>
          <w:sz w:val="18"/>
          <w:szCs w:val="18"/>
          <w:color w:val="auto"/>
        </w:rPr>
        <w:t>Proceeds received from issuance of common stock to Sponsor 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Proceeds from working capital loan - related party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Repayment of 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56"/>
        <w:spacing w:after="0"/>
        <w:rPr>
          <w:sz w:val="20"/>
          <w:szCs w:val="20"/>
          <w:color w:val="auto"/>
        </w:rPr>
      </w:pPr>
      <w:r>
        <w:rPr>
          <w:rFonts w:ascii="Arial" w:cs="Arial" w:eastAsia="Arial" w:hAnsi="Arial"/>
          <w:sz w:val="13"/>
          <w:szCs w:val="13"/>
          <w:b w:val="1"/>
          <w:bCs w:val="1"/>
          <w:color w:val="auto"/>
        </w:rPr>
        <w:t>For the Nine Months Ended</w:t>
      </w:r>
    </w:p>
    <w:p>
      <w:pPr>
        <w:spacing w:after="0" w:line="15"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September 30, 2021</w:t>
      </w:r>
    </w:p>
    <w:p>
      <w:pPr>
        <w:spacing w:after="0" w:line="209" w:lineRule="exact"/>
        <w:rPr>
          <w:sz w:val="20"/>
          <w:szCs w:val="20"/>
          <w:color w:val="auto"/>
        </w:rPr>
      </w:pPr>
    </w:p>
    <w:p>
      <w:pPr>
        <w:ind w:left="963" w:hanging="963"/>
        <w:spacing w:after="0"/>
        <w:tabs>
          <w:tab w:leader="none" w:pos="963" w:val="left"/>
        </w:tabs>
        <w:numPr>
          <w:ilvl w:val="0"/>
          <w:numId w:val="5"/>
        </w:numPr>
        <w:rPr>
          <w:rFonts w:ascii="Arial" w:cs="Arial" w:eastAsia="Arial" w:hAnsi="Arial"/>
          <w:sz w:val="16"/>
          <w:szCs w:val="16"/>
          <w:color w:val="auto"/>
        </w:rPr>
      </w:pPr>
      <w:r>
        <w:rPr>
          <w:rFonts w:ascii="Arial" w:cs="Arial" w:eastAsia="Arial" w:hAnsi="Arial"/>
          <w:sz w:val="16"/>
          <w:szCs w:val="16"/>
          <w:color w:val="auto"/>
        </w:rPr>
        <w:t>(3,674,779)</w:t>
      </w:r>
    </w:p>
    <w:p>
      <w:pPr>
        <w:spacing w:after="0" w:line="24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(10,994)</w:t>
      </w:r>
    </w:p>
    <w:p>
      <w:pPr>
        <w:spacing w:after="0" w:line="23"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231,566</w:t>
      </w:r>
    </w:p>
    <w:p>
      <w:pPr>
        <w:spacing w:after="0" w:line="21"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806,967</w:t>
      </w:r>
    </w:p>
    <w:p>
      <w:pPr>
        <w:spacing w:after="0" w:line="22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(543,006)</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349,077</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(79,731)</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149,139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139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963"/>
        <w:spacing w:after="0"/>
        <w:rPr>
          <w:sz w:val="20"/>
          <w:szCs w:val="20"/>
          <w:color w:val="auto"/>
        </w:rPr>
      </w:pPr>
      <w:r>
        <w:rPr>
          <w:rFonts w:ascii="Arial" w:cs="Arial" w:eastAsia="Arial" w:hAnsi="Arial"/>
          <w:sz w:val="16"/>
          <w:szCs w:val="16"/>
          <w:color w:val="auto"/>
        </w:rPr>
        <w:t>(2,771,761)</w:t>
      </w:r>
    </w:p>
    <w:p>
      <w:pPr>
        <w:spacing w:after="0" w:line="200" w:lineRule="exact"/>
        <w:rPr>
          <w:sz w:val="20"/>
          <w:szCs w:val="20"/>
          <w:color w:val="auto"/>
        </w:rPr>
      </w:pPr>
    </w:p>
    <w:p>
      <w:pPr>
        <w:spacing w:after="0" w:line="277" w:lineRule="exact"/>
        <w:rPr>
          <w:sz w:val="20"/>
          <w:szCs w:val="20"/>
          <w:color w:val="auto"/>
        </w:rPr>
      </w:pPr>
    </w:p>
    <w:p>
      <w:pPr>
        <w:ind w:left="783"/>
        <w:spacing w:after="0"/>
        <w:rPr>
          <w:sz w:val="20"/>
          <w:szCs w:val="20"/>
          <w:color w:val="auto"/>
        </w:rPr>
      </w:pPr>
      <w:r>
        <w:rPr>
          <w:rFonts w:ascii="Arial" w:cs="Arial" w:eastAsia="Arial" w:hAnsi="Arial"/>
          <w:sz w:val="16"/>
          <w:szCs w:val="16"/>
          <w:color w:val="auto"/>
        </w:rPr>
        <w:t>(287,500,000)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1139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6" w:lineRule="exact"/>
        <w:rPr>
          <w:sz w:val="20"/>
          <w:szCs w:val="20"/>
          <w:color w:val="auto"/>
        </w:rPr>
      </w:pPr>
    </w:p>
    <w:p>
      <w:pPr>
        <w:ind w:left="783"/>
        <w:spacing w:after="0"/>
        <w:rPr>
          <w:sz w:val="20"/>
          <w:szCs w:val="20"/>
          <w:color w:val="auto"/>
        </w:rPr>
      </w:pPr>
      <w:r>
        <w:rPr>
          <w:rFonts w:ascii="Arial" w:cs="Arial" w:eastAsia="Arial" w:hAnsi="Arial"/>
          <w:sz w:val="16"/>
          <w:szCs w:val="16"/>
          <w:color w:val="auto"/>
        </w:rPr>
        <w:t>(287,500,000)</w:t>
      </w:r>
    </w:p>
    <w:p>
      <w:pPr>
        <w:spacing w:after="0" w:line="200" w:lineRule="exact"/>
        <w:rPr>
          <w:sz w:val="20"/>
          <w:szCs w:val="20"/>
          <w:color w:val="auto"/>
        </w:rPr>
      </w:pPr>
    </w:p>
    <w:p>
      <w:pPr>
        <w:spacing w:after="0" w:line="277"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287,500,000</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7,775,000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20,125</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1,000,000</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(33,175)</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(5,832,150)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290,129,800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398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18" w:lineRule="exact"/>
        <w:rPr>
          <w:sz w:val="20"/>
          <w:szCs w:val="20"/>
          <w:color w:val="auto"/>
        </w:rPr>
      </w:pPr>
    </w:p>
    <w:p>
      <w:pPr>
        <w:ind w:left="1083"/>
        <w:spacing w:after="0"/>
        <w:rPr>
          <w:sz w:val="20"/>
          <w:szCs w:val="20"/>
          <w:color w:val="auto"/>
        </w:rPr>
      </w:pPr>
      <w:r>
        <w:rPr>
          <w:rFonts w:ascii="Arial" w:cs="Arial" w:eastAsia="Arial" w:hAnsi="Arial"/>
          <w:sz w:val="16"/>
          <w:szCs w:val="16"/>
          <w:color w:val="auto"/>
        </w:rPr>
        <w:t>(141,961)</w:t>
      </w:r>
    </w:p>
    <w:p>
      <w:pPr>
        <w:spacing w:after="0" w:line="248" w:lineRule="exact"/>
        <w:rPr>
          <w:sz w:val="20"/>
          <w:szCs w:val="20"/>
          <w:color w:val="auto"/>
        </w:rPr>
      </w:pPr>
    </w:p>
    <w:p>
      <w:pPr>
        <w:ind w:left="1163"/>
        <w:spacing w:after="0"/>
        <w:rPr>
          <w:sz w:val="20"/>
          <w:szCs w:val="20"/>
          <w:color w:val="auto"/>
        </w:rPr>
      </w:pPr>
      <w:r>
        <w:rPr>
          <w:rFonts w:ascii="Arial" w:cs="Arial" w:eastAsia="Arial" w:hAnsi="Arial"/>
          <w:sz w:val="17"/>
          <w:szCs w:val="17"/>
          <w:color w:val="auto"/>
        </w:rPr>
        <w:t>201,781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139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5" w:lineRule="exact"/>
        <w:rPr>
          <w:sz w:val="20"/>
          <w:szCs w:val="20"/>
          <w:color w:val="auto"/>
        </w:rPr>
      </w:pPr>
    </w:p>
    <w:p>
      <w:pPr>
        <w:ind w:left="1243" w:hanging="1243"/>
        <w:spacing w:after="0"/>
        <w:tabs>
          <w:tab w:leader="none" w:pos="124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59,820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398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43" w:hanging="1243"/>
        <w:spacing w:after="0"/>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70,000</w:t>
      </w:r>
    </w:p>
    <w:p>
      <w:pPr>
        <w:spacing w:after="0" w:line="214" w:lineRule="exact"/>
        <w:rPr>
          <w:sz w:val="20"/>
          <w:szCs w:val="20"/>
          <w:color w:val="auto"/>
        </w:rPr>
      </w:pPr>
    </w:p>
    <w:p>
      <w:pPr>
        <w:sectPr>
          <w:pgSz w:w="11900" w:h="16838" w:orient="portrait"/>
          <w:cols w:equalWidth="0" w:num="2">
            <w:col w:w="6437" w:space="720"/>
            <w:col w:w="1862"/>
          </w:cols>
          <w:pgMar w:left="1440" w:top="517" w:right="1440"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 and General</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890 5th Avenue Partners, Inc. (the “Company”) is a blank check company incorporated in Delaware on September 9,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September 30, 2021, the Company had not commenced any operations. All activity for the period from September 9, 2020 (inception) through September 30, 2021, relates to the Company’s formation, the initial public offering (the “Initial Public Offering”) described below, the search for and evaluation and due diligence of potential targets for an initial business combination, and the negotiation and drafting of documentation for the Business Combination and Convertible Note Financing (as defined below). The Company will not generate any operating revenues until after the completion of its initial Business Combination, at the earliest. The Company generates non-operating income in the form of interest income on investments held in the trust account from the proceeds from the Initial Public Offering and the sale of the private placement.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Sponsor and Financing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sponsor is 200 Park Avenue Partners, LLC, a Delaware limited liability company (the “Sponsor”). The registration statement for the Company’s Initial Public Offering was declared effective on January 11, 2021. On January 14, 2021, the Company consummated its Initial Public Offering of 28,750,000 units (the “Units” and, with respect to the Class A common stock included in the Units being offered, the “Public Shares”), including 3,750,000 additional Units to cover over-allotments (the “Over-Allotment Units”), at $10.00 per Unit, generating gross proceeds of $287.5 million, and incurring offering costs of approximately $6.2 million.</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 and incurring offering costs of approximately $12,000 (Note 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Initial Public Offering and the Private Placement, an aggregate of $287.5 million ($10.00 per Unit) of the net proceeds of the Initial Public Offering and certain of the proceeds of the Private Placement was held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taxes payable on the income earned on the trust account) at the time of signing a definitive agreement in connection with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Company will provide the holders of the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Company will proceed with a Business Combination if a majority of the shares voted are voted in favor of the Business Combination, subject to closing condition regarding stockholder approval matters as set forth in the Merger Agreement (as defined below).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“A&amp;R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agreed to vote their Founder Shares (as defined below in Note 4) and any Public Shares purchased during or after the Initial Public Offering in favor of a Business Combination. In addition, the initial stockholders agreed to waive their redemption rights with respect to their Founder Shares and Public Shares in connection with the completion of a Business Combination.</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A&amp;R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holders of the Founder Shares (as defined in Note 4) prior to the Initial Public Offering (the “initial stockholders”) agreed not to propose an amendment to the A&amp;R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January 14, 2023 (the “Combination Period”), the Company will (i) cease all operations except for the purpose of winding up; (ii)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of directors, dissolve and liquidate, subject in each case to the Company’s obligations under Delaware law to provide for claims of creditors and the requirements of other applicable law.</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initial stockholders agreed to waive their rights to liquidating distributions from the Trust Account with respect to the Founder Shares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event of such distribution, it is possible that the per share value of the residual assets remaining available for distribution (including Trust Account assets) will be only $10.00. In order to protect the amounts held in the Trust Account, the Sponsor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On June 24, 2021, the Company entered into an Agreement and Plan of Merger (as amended from time to time, including by that certain Amendment No. 1 Agreement and Plan of Merger dated as of October 28, 2021, the “Merger Agreement”), by and among the Company, Bolt Merger Sub I, Inc., a Delaware corporation and a direct, wholly owned subsidiary of the Company (“Merger Sub I”), Bolt Merger Sub II, Inc., a Delaware corporation and a direct, wholly owned subsidiary of the Company (“Merger Sub II”), and BuzzFeed, Inc., a Delaware corporation (“BuzzFeed”).</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Merger Agreement provides for, among other things, the following transactions at the closing: Merger Sub I will merge with and into BuzzFeed, with BuzzFeed as the surviving company in the merger and, after giving effect to such merger, continuing as a wholly owned subsidiary of the Company (the “Merger”). Immediately following the Merger, BuzzFeed will merge with and into Merger Sub II (the “Second Merger,” together with the Merger, the “Two-Step Merger”) with Merger Sub II being the surviving company of the Second Merger. The Two-Step Merger and the other transactions contemplated by the Merger Agreement are hereinafter referred to as the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accordance with the terms and subject to the conditions of the Merger Agreement, each share of Class A common stock of BuzzFeed, Class B common stock of BuzzFeed, Class C common stock of BuzzFeed and preferred stock of BuzzFeed, other than company restricted stock awards, excluded shares and dissenting shares shall be cancelled and automatically converted into a number of shares of Class A common stock of the Company equal to the quotient, rounded to the tenth decimal place, obtained by dividing 30,880,000 by the aggregate number of shares of BuzzFeed Series F Preferred Stock and BuzzFeed Series G Preferred Stock outstanding as of the effective time; (ii) each share of BuzzFeed Class A Common Stock and BuzzFeed Preferred Stock (other than BuzzFeed Series F Preferred Stock, BuzzFeed Series G Preferred Stock, company restricted stock awards, excluded shares and dissenting shares) shall be converted into the right to receive a number of shares of Class A Common Stock of the Company equal to the quotient of: (A) the remaining per share amount, divided by (B) $10.00; (iii) each share of BuzzFeed Class B Common Stock (other than excluded shares and dissenting shares) shall be converted into the right to receive a number of shares of Class B common stock of the Company equal to the quotient of: (A) the remaining per share amount, divided by (B) $10.00; and (iv) each share of BuzzFeed Class C Common Stock (other than excluded shares and dissenting shares) shall be converted into the right to receive a number of shares of Class C common stock of the Company equal to the quotient of: (A) the remaining per share amount, divided by (B) $10.00.</w:t>
      </w:r>
    </w:p>
    <w:p>
      <w:pPr>
        <w:spacing w:after="0" w:line="18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2021, the Company had approximately $60,000 in cash and working capital deficit of approximately $1.1 million.</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liquidity needs prior to the consummation of the Initial Public Offering were satisfied through the cash proceeds of $25,000 from the sale of the Founder Shares (as defined in Note 4), loan from the Sponsor of $300,000 under the Note (as defined in Note 4), and advances from related party of approximately $13,000 (Note 4). The Company repaid the Note of $300,000 in full on January 14, 2021, and the Company reimbursed the advances from the related party in full in February 2021. Subsequent to the consummation of the Initial Public Offering, the Company’s liquidity needs have been satisfied through the net proceeds from the consummation of the Private Placement held outside of the Trust Account. In addition, in order to finance transaction costs in connection with a Business Combination, the Sponsor, members of our management team or any of their affiliates or other third parties, may, but are not obligated to (except as described below), provide the Company with Working Capital Loans (as defined in Note 4). The Working Capital Loans will either be repaid upon consummation of a Business Combination, without interest, or, at the lender’s discretion, up to $1.5 million of such Working Capital Loans may be convertible into units of the post-Business Combination entity at a price of $10.00 per unit. The units would be identical to the Private Placement Units.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(the foregoing, the “Sponsor Loan Commitment”). As described above, up to $1.5 million of the Sponsor Loan Commitment (in the aggregate with any other Working Capital Loans) may be convertible into units of the post-Business Combination entity at a price of $10.00 per unit at the option of the lender. As of September 30, 2021, the Company borrowed from the Sponsor the amount of $1.0 million under the Sponsor Loan Commitment, which amount remains outstanding (See Note 4).</w:t>
      </w:r>
    </w:p>
    <w:p>
      <w:pPr>
        <w:spacing w:after="0" w:line="9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Based on the foregoing, management has since reevaluated the Company’s liquidity and financial condition and believes that the Company will have sufficient working capital and borrowing capacity to meet its needs through the earlier of the consummation of a Business Combination or one year from this filing. Over this time period, the Company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37" w:lineRule="exact"/>
        <w:rPr>
          <w:sz w:val="20"/>
          <w:szCs w:val="20"/>
          <w:color w:val="auto"/>
        </w:rPr>
      </w:pPr>
    </w:p>
    <w:p>
      <w:pPr>
        <w:ind w:left="60" w:right="2939"/>
        <w:spacing w:after="0" w:line="424" w:lineRule="auto"/>
        <w:rPr>
          <w:sz w:val="20"/>
          <w:szCs w:val="20"/>
          <w:color w:val="auto"/>
        </w:rPr>
      </w:pPr>
      <w:r>
        <w:rPr>
          <w:rFonts w:ascii="Arial" w:cs="Arial" w:eastAsia="Arial" w:hAnsi="Arial"/>
          <w:sz w:val="18"/>
          <w:szCs w:val="18"/>
          <w:b w:val="1"/>
          <w:bCs w:val="1"/>
          <w:color w:val="auto"/>
        </w:rPr>
        <w:t>Note 2—Basis of Presentation and Summary of Significant Accounting Policies Basis of Presentation</w:t>
      </w:r>
    </w:p>
    <w:p>
      <w:pPr>
        <w:spacing w:after="0" w:line="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 presented. There was nominal activity from September 9, 2020 (inception) through September 30, 2020 and there were no assets, liabilities or equity as of September 30, 2020, and, as such, the period is not presented in these unaudited condensed financial statements. Operating results for the three and nine months ended September 30, 2021, are not necessarily indicative of the results that may be expected through December 31, 2021.</w:t>
      </w:r>
    </w:p>
    <w:p>
      <w:pPr>
        <w:spacing w:after="0" w:line="10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balance sheet and notes thereto included in the Form 8-K and the final prospectus filed by the Company with the SEC on January 21, 2021, and January 13, 2021, respectively.</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Restatement of Previously Reported Financial Statements</w:t>
      </w:r>
    </w:p>
    <w:p>
      <w:pPr>
        <w:spacing w:after="0" w:line="15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preparation of the Company’s unaudited condensed consolidated financial statements as of and for the quarterly period ended September 30, 2021, the Company concluded it should revise its previously reported financial statements to classify all Class A common stock subject to possible redemption in temporary equity. The Company’s previously filed financial statements that contained the error were reported in the Company’s Form 8-K with its audited balance sheet as of January 14, 2021 (the “Post-IPO balance sheet”), and the Company’s Form 10-Qs for the quarterly periods ended March 31, 2021, and June 30, 2021 (the “affected periods”). In accordance with the SEC and its staff’s guidance on redeemable equity instruments, ASC 480, paragraph 10-S99, redemption provisions not solely within the control of the Company require common stock subject to redemption to be classified outside of permanent equity. The Company had previously classified a portion of its Class A common stock in permanent equity, or total stockholders’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stock classified as temporary equity as part of net tangible assets. Effective with these financial statements, the Company revised this interpretation to include temporary equity in net tangible assets. Accordingly, effective with this filing, the Company presented all shares of redeemable Class A common stock as temporary equity and recognized accretion from the initial book value to redemption value at the time of its Initial Public Offering and in accordance with ASC 480. The change in the carrying value of the redeemable shares of Class A common stock of approximately $14.8 million to the Post-IPO balance sheet resulted in a decrease of approximately $5.3 million 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additional paid-in capital and a charge of approximately $9.6 million to accumulated deficit, as well as a reclassification of 1,484,933 shares of Class A common stock from permanent equity to temporary equity as presented below.</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ind w:right="7"/>
              <w:spacing w:after="0"/>
              <w:rPr>
                <w:sz w:val="20"/>
                <w:szCs w:val="20"/>
                <w:color w:val="auto"/>
              </w:rPr>
            </w:pPr>
            <w:r>
              <w:rPr>
                <w:rFonts w:ascii="Arial" w:cs="Arial" w:eastAsia="Arial" w:hAnsi="Arial"/>
                <w:sz w:val="14"/>
                <w:szCs w:val="14"/>
                <w:b w:val="1"/>
                <w:bCs w:val="1"/>
                <w:color w:val="auto"/>
                <w:w w:val="94"/>
              </w:rPr>
              <w:t>As of January 14, 2021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33"/>
              <w:spacing w:after="0" w:line="133" w:lineRule="exact"/>
              <w:rPr>
                <w:sz w:val="20"/>
                <w:szCs w:val="20"/>
                <w:color w:val="auto"/>
              </w:rPr>
            </w:pPr>
            <w:r>
              <w:rPr>
                <w:rFonts w:ascii="Arial" w:cs="Arial" w:eastAsia="Arial" w:hAnsi="Arial"/>
                <w:sz w:val="14"/>
                <w:szCs w:val="14"/>
                <w:b w:val="1"/>
                <w:bCs w:val="1"/>
                <w:color w:val="auto"/>
                <w:w w:val="88"/>
              </w:rPr>
              <w:t>As Previously</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1"/>
                <w:szCs w:val="11"/>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9"/>
              </w:rPr>
              <w:t>Reported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Unaudited Condensed Balance Sheet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289,432,482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289,432,482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11,781,807</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11,781,807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272,650,670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14,849,330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287,500,000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Class F common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5,251,729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(5,251,729)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(252,669)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(9,597,453)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(9,850,122)</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(14,849,330)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(9,849,325)</w:t>
            </w:r>
          </w:p>
        </w:tc>
        <w:tc>
          <w:tcPr>
            <w:tcW w:w="0" w:type="dxa"/>
            <w:vAlign w:val="bottom"/>
          </w:tcPr>
          <w:p>
            <w:pPr>
              <w:spacing w:after="0"/>
              <w:rPr>
                <w:sz w:val="1"/>
                <w:szCs w:val="1"/>
                <w:color w:val="auto"/>
              </w:rPr>
            </w:pPr>
          </w:p>
        </w:tc>
      </w:tr>
      <w:tr>
        <w:trPr>
          <w:trHeight w:val="178"/>
        </w:trPr>
        <w:tc>
          <w:tcPr>
            <w:tcW w:w="4900" w:type="dxa"/>
            <w:vAlign w:val="bottom"/>
          </w:tcPr>
          <w:p>
            <w:pPr>
              <w:spacing w:after="0" w:line="177" w:lineRule="exact"/>
              <w:rPr>
                <w:sz w:val="20"/>
                <w:szCs w:val="20"/>
                <w:color w:val="auto"/>
              </w:rPr>
            </w:pPr>
            <w:r>
              <w:rPr>
                <w:rFonts w:ascii="Arial" w:cs="Arial" w:eastAsia="Arial" w:hAnsi="Arial"/>
                <w:sz w:val="18"/>
                <w:szCs w:val="18"/>
                <w:b w:val="1"/>
                <w:bCs w:val="1"/>
                <w:color w:val="auto"/>
                <w:w w:val="97"/>
              </w:rPr>
              <w:t>Total liabilities, temporary equity and stockholders’ equity</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1"/>
              </w:rPr>
              <w:t>289,432,482</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289,432,482</w:t>
            </w:r>
          </w:p>
        </w:tc>
        <w:tc>
          <w:tcPr>
            <w:tcW w:w="0" w:type="dxa"/>
            <w:vAlign w:val="bottom"/>
          </w:tcPr>
          <w:p>
            <w:pPr>
              <w:spacing w:after="0"/>
              <w:rPr>
                <w:sz w:val="1"/>
                <w:szCs w:val="1"/>
                <w:color w:val="auto"/>
              </w:rPr>
            </w:pPr>
          </w:p>
        </w:tc>
      </w:tr>
      <w:tr>
        <w:trPr>
          <w:trHeight w:val="221"/>
        </w:trPr>
        <w:tc>
          <w:tcPr>
            <w:tcW w:w="4900" w:type="dxa"/>
            <w:vAlign w:val="bottom"/>
          </w:tcPr>
          <w:p>
            <w:pPr>
              <w:ind w:left="120"/>
              <w:spacing w:after="0"/>
              <w:rPr>
                <w:sz w:val="20"/>
                <w:szCs w:val="20"/>
                <w:color w:val="auto"/>
              </w:rPr>
            </w:pPr>
            <w:r>
              <w:rPr>
                <w:rFonts w:ascii="Arial" w:cs="Arial" w:eastAsia="Arial" w:hAnsi="Arial"/>
                <w:sz w:val="18"/>
                <w:szCs w:val="18"/>
                <w:b w:val="1"/>
                <w:bCs w:val="1"/>
                <w:color w:val="auto"/>
              </w:rPr>
              <w:t>(deficit)</w:t>
            </w:r>
          </w:p>
        </w:tc>
        <w:tc>
          <w:tcPr>
            <w:tcW w:w="5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As previously reported in the Company’s Form 10-Q for the period ended March 31, 2021.</w:t>
      </w:r>
    </w:p>
    <w:p>
      <w:pPr>
        <w:spacing w:after="0" w:line="15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previously issued financial statement included as an exhibit to the Company’s Form 8-K filed with the SEC on January 21, 2021, and Form 10-Qs for the affected periods, will not be amended, but historical amounts are presented in the current filing and will be presented in future filings as restated in order to be consistent with the current presentation.</w:t>
      </w:r>
    </w:p>
    <w:p>
      <w:pPr>
        <w:spacing w:after="0" w:line="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impact of the restatement to the unaudited condensed balance sheets as of March 31, 2021, and June 30, 2021, is presented below.</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73"/>
              <w:spacing w:after="0" w:line="133" w:lineRule="exact"/>
              <w:rPr>
                <w:sz w:val="20"/>
                <w:szCs w:val="20"/>
                <w:color w:val="auto"/>
              </w:rPr>
            </w:pPr>
            <w:r>
              <w:rPr>
                <w:rFonts w:ascii="Arial" w:cs="Arial" w:eastAsia="Arial" w:hAnsi="Arial"/>
                <w:sz w:val="14"/>
                <w:szCs w:val="14"/>
                <w:b w:val="1"/>
                <w:bCs w:val="1"/>
                <w:color w:val="auto"/>
                <w:w w:val="88"/>
              </w:rPr>
              <w:t>As Previously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Unaudited Condensed Balance Sheet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288,953,438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288,953,438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10,020,406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273,933,030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13,566,970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Class F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(3,969,381)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(9,597,454)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(8,567,765)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(13,566,970)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(8,566,968)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Arial" w:cs="Arial" w:eastAsia="Arial" w:hAnsi="Arial"/>
                <w:sz w:val="18"/>
                <w:szCs w:val="18"/>
                <w:b w:val="1"/>
                <w:bCs w:val="1"/>
                <w:color w:val="auto"/>
                <w:w w:val="96"/>
              </w:rPr>
              <w:t>Total liabilities, Class A Common Stock Subject to Possible</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288,953,438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288,953,438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b w:val="1"/>
                <w:bCs w:val="1"/>
                <w:color w:val="auto"/>
              </w:rPr>
              <w:t>Redemption and Stockholders’ Equity (Deficit)</w:t>
            </w:r>
          </w:p>
        </w:tc>
        <w:tc>
          <w:tcPr>
            <w:tcW w:w="4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9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2021</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73"/>
              <w:spacing w:after="0" w:line="133" w:lineRule="exact"/>
              <w:rPr>
                <w:sz w:val="20"/>
                <w:szCs w:val="20"/>
                <w:color w:val="auto"/>
              </w:rPr>
            </w:pPr>
            <w:r>
              <w:rPr>
                <w:rFonts w:ascii="Arial" w:cs="Arial" w:eastAsia="Arial" w:hAnsi="Arial"/>
                <w:sz w:val="14"/>
                <w:szCs w:val="14"/>
                <w:b w:val="1"/>
                <w:bCs w:val="1"/>
                <w:color w:val="auto"/>
                <w:w w:val="88"/>
              </w:rPr>
              <w:t>As Previously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1"/>
                <w:szCs w:val="11"/>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Unaudited Condensed Consolidated Balance Sheet</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288,690,246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288,690,246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14,058,658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14,058,658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269,631,580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17,868,420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287,500,000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Class F common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(9,597,454)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(12,869,209)</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(17,868,420)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(12,868,412)</w:t>
            </w:r>
          </w:p>
        </w:tc>
        <w:tc>
          <w:tcPr>
            <w:tcW w:w="0" w:type="dxa"/>
            <w:vAlign w:val="bottom"/>
          </w:tcPr>
          <w:p>
            <w:pPr>
              <w:spacing w:after="0"/>
              <w:rPr>
                <w:sz w:val="1"/>
                <w:szCs w:val="1"/>
                <w:color w:val="auto"/>
              </w:rPr>
            </w:pPr>
          </w:p>
        </w:tc>
      </w:tr>
      <w:tr>
        <w:trPr>
          <w:trHeight w:val="178"/>
        </w:trPr>
        <w:tc>
          <w:tcPr>
            <w:tcW w:w="4900" w:type="dxa"/>
            <w:vAlign w:val="bottom"/>
          </w:tcPr>
          <w:p>
            <w:pPr>
              <w:spacing w:after="0" w:line="177" w:lineRule="exact"/>
              <w:rPr>
                <w:sz w:val="20"/>
                <w:szCs w:val="20"/>
                <w:color w:val="auto"/>
              </w:rPr>
            </w:pPr>
            <w:r>
              <w:rPr>
                <w:rFonts w:ascii="Arial" w:cs="Arial" w:eastAsia="Arial" w:hAnsi="Arial"/>
                <w:sz w:val="18"/>
                <w:szCs w:val="18"/>
                <w:b w:val="1"/>
                <w:bCs w:val="1"/>
                <w:color w:val="auto"/>
                <w:w w:val="95"/>
              </w:rPr>
              <w:t>Total liabilities, Class A Common Stock Subject to Possible</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288,690,246</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288,690,246</w:t>
            </w:r>
          </w:p>
        </w:tc>
        <w:tc>
          <w:tcPr>
            <w:tcW w:w="0" w:type="dxa"/>
            <w:vAlign w:val="bottom"/>
          </w:tcPr>
          <w:p>
            <w:pPr>
              <w:spacing w:after="0"/>
              <w:rPr>
                <w:sz w:val="1"/>
                <w:szCs w:val="1"/>
                <w:color w:val="auto"/>
              </w:rPr>
            </w:pPr>
          </w:p>
        </w:tc>
      </w:tr>
      <w:tr>
        <w:trPr>
          <w:trHeight w:val="221"/>
        </w:trPr>
        <w:tc>
          <w:tcPr>
            <w:tcW w:w="4900" w:type="dxa"/>
            <w:vAlign w:val="bottom"/>
          </w:tcPr>
          <w:p>
            <w:pPr>
              <w:ind w:left="120"/>
              <w:spacing w:after="0"/>
              <w:rPr>
                <w:sz w:val="20"/>
                <w:szCs w:val="20"/>
                <w:color w:val="auto"/>
              </w:rPr>
            </w:pPr>
            <w:r>
              <w:rPr>
                <w:rFonts w:ascii="Arial" w:cs="Arial" w:eastAsia="Arial" w:hAnsi="Arial"/>
                <w:sz w:val="18"/>
                <w:szCs w:val="18"/>
                <w:b w:val="1"/>
                <w:bCs w:val="1"/>
                <w:color w:val="auto"/>
              </w:rPr>
              <w:t>Redemption and Stockholders’ Equity (Deficit)</w:t>
            </w:r>
          </w:p>
        </w:tc>
        <w:tc>
          <w:tcPr>
            <w:tcW w:w="50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no impact to the reported amounts for total assets, total liabilities, cash flows, or net income (loss).</w:t>
      </w:r>
    </w:p>
    <w:p>
      <w:pPr>
        <w:spacing w:after="0" w:line="14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impact of the restatement to the supplemental disclosures of noncash activities in the previously reported statements of cash flow is presented below.</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7"/>
          </w:tcPr>
          <w:p>
            <w:pPr>
              <w:jc w:val="right"/>
              <w:ind w:right="335"/>
              <w:spacing w:after="0"/>
              <w:rPr>
                <w:sz w:val="20"/>
                <w:szCs w:val="20"/>
                <w:color w:val="auto"/>
              </w:rPr>
            </w:pPr>
            <w:r>
              <w:rPr>
                <w:rFonts w:ascii="Arial" w:cs="Arial" w:eastAsia="Arial" w:hAnsi="Arial"/>
                <w:sz w:val="14"/>
                <w:szCs w:val="14"/>
                <w:b w:val="1"/>
                <w:bCs w:val="1"/>
                <w:color w:val="auto"/>
              </w:rPr>
              <w:t>For the Three Months Ended March 31,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Reported</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4"/>
              </w:rPr>
              <w:t>Unaudited Condensed Statement of Cash Flows - Supplemental</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disclosure of noncash activities: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Initial value of Class A common stock subject to possible redemption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284,058,140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(284,058,140)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fair value of Class A common stock subject to possible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(10,125,110)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10,125,110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Accretion of Class A common stock subject to redemption amount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17,105,848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17,105,848</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right"/>
              <w:ind w:right="475"/>
              <w:spacing w:after="0"/>
              <w:rPr>
                <w:sz w:val="20"/>
                <w:szCs w:val="20"/>
                <w:color w:val="auto"/>
              </w:rPr>
            </w:pPr>
            <w:r>
              <w:rPr>
                <w:rFonts w:ascii="Arial" w:cs="Arial" w:eastAsia="Arial" w:hAnsi="Arial"/>
                <w:sz w:val="14"/>
                <w:szCs w:val="14"/>
                <w:b w:val="1"/>
                <w:bCs w:val="1"/>
                <w:color w:val="auto"/>
              </w:rPr>
              <w:t>For the Six Months Ended June 30,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Reported</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4"/>
              </w:rPr>
              <w:t>Unaudited Condensed Consolidated Statement of Cash Flows -</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Initial value of Class A common stock subject to possible redemption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272,650,670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(272,650,670)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fair value of Class A common stock subject to possible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(3,019,090)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3,019,090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Accretion of Class A common stock subject to redemption amount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17,105,848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17,105,848</w:t>
            </w:r>
          </w:p>
        </w:tc>
        <w:tc>
          <w:tcPr>
            <w:tcW w:w="0" w:type="dxa"/>
            <w:vAlign w:val="bottom"/>
          </w:tcPr>
          <w:p>
            <w:pPr>
              <w:spacing w:after="0"/>
              <w:rPr>
                <w:sz w:val="1"/>
                <w:szCs w:val="1"/>
                <w:color w:val="auto"/>
              </w:rPr>
            </w:pPr>
          </w:p>
        </w:tc>
      </w:tr>
      <w:tr>
        <w:trPr>
          <w:trHeight w:val="850"/>
        </w:trPr>
        <w:tc>
          <w:tcPr>
            <w:tcW w:w="5160" w:type="dxa"/>
            <w:vAlign w:val="bottom"/>
            <w:gridSpan w:val="2"/>
          </w:tcPr>
          <w:p>
            <w:pPr>
              <w:jc w:val="right"/>
              <w:ind w:right="5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connection with the change in presentation for the Class A common stock subject to possible redemption, the Company has revised its earnings per share calculation to allocate income and losses shared pro rata between the two classes of shares. This presentation contemplates a Business Combination as the most likely outcome, in which case, both classes of shares share pro rata in the income and losses of the Company. The impact to the reported amounts of weighted average shares outstanding and basic and diluted earnings per common share is presented below for the affected periods: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1" w:lineRule="exact"/>
        <w:rPr>
          <w:sz w:val="20"/>
          <w:szCs w:val="20"/>
          <w:color w:val="auto"/>
        </w:rPr>
      </w:pPr>
    </w:p>
    <w:p>
      <w:pPr>
        <w:ind w:left="180" w:hanging="128"/>
        <w:spacing w:after="0" w:line="258" w:lineRule="auto"/>
        <w:rPr>
          <w:sz w:val="20"/>
          <w:szCs w:val="20"/>
          <w:color w:val="auto"/>
        </w:rPr>
      </w:pPr>
      <w:r>
        <w:rPr>
          <w:rFonts w:ascii="Arial" w:cs="Arial" w:eastAsia="Arial" w:hAnsi="Arial"/>
          <w:sz w:val="18"/>
          <w:szCs w:val="18"/>
          <w:color w:val="auto"/>
        </w:rPr>
        <w:t>Weighted average shares outstanding of Class A common stock,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Basic and diluted net income per share of Class A common stock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Weighted average shares outstanding of Class F common stock,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56489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Weighted average shares outstanding of Class F common stock, diluted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share of Class 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1" w:lineRule="exact"/>
        <w:rPr>
          <w:sz w:val="20"/>
          <w:szCs w:val="20"/>
          <w:color w:val="auto"/>
        </w:rPr>
      </w:pPr>
    </w:p>
    <w:p>
      <w:pPr>
        <w:ind w:left="180" w:hanging="128"/>
        <w:spacing w:after="0" w:line="258" w:lineRule="auto"/>
        <w:rPr>
          <w:sz w:val="20"/>
          <w:szCs w:val="20"/>
          <w:color w:val="auto"/>
        </w:rPr>
      </w:pPr>
      <w:r>
        <w:rPr>
          <w:rFonts w:ascii="Arial" w:cs="Arial" w:eastAsia="Arial" w:hAnsi="Arial"/>
          <w:sz w:val="18"/>
          <w:szCs w:val="18"/>
          <w:color w:val="auto"/>
        </w:rPr>
        <w:t>Weighted average shares outstanding of Class A common stock,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40"/>
        <w:spacing w:after="0" w:line="300" w:lineRule="auto"/>
        <w:rPr>
          <w:sz w:val="20"/>
          <w:szCs w:val="20"/>
          <w:color w:val="auto"/>
        </w:rPr>
      </w:pPr>
      <w:r>
        <w:rPr>
          <w:rFonts w:ascii="Arial" w:cs="Arial" w:eastAsia="Arial" w:hAnsi="Arial"/>
          <w:sz w:val="15"/>
          <w:szCs w:val="15"/>
          <w:color w:val="auto"/>
        </w:rPr>
        <w:t>Basic and diluted net income per share of Class A common stock Weighted average shares outstanding of Class F common stock, basic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Basic and diluted net loss per share of Class 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1" w:lineRule="exact"/>
        <w:rPr>
          <w:sz w:val="20"/>
          <w:szCs w:val="20"/>
          <w:color w:val="auto"/>
        </w:rPr>
      </w:pPr>
    </w:p>
    <w:p>
      <w:pPr>
        <w:ind w:left="180" w:hanging="128"/>
        <w:spacing w:after="0" w:line="258" w:lineRule="auto"/>
        <w:rPr>
          <w:sz w:val="20"/>
          <w:szCs w:val="20"/>
          <w:color w:val="auto"/>
        </w:rPr>
      </w:pPr>
      <w:r>
        <w:rPr>
          <w:rFonts w:ascii="Arial" w:cs="Arial" w:eastAsia="Arial" w:hAnsi="Arial"/>
          <w:sz w:val="18"/>
          <w:szCs w:val="18"/>
          <w:color w:val="auto"/>
        </w:rPr>
        <w:t>Weighted average shares outstanding of Class A common stock,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40"/>
        <w:spacing w:after="0" w:line="300" w:lineRule="auto"/>
        <w:rPr>
          <w:sz w:val="20"/>
          <w:szCs w:val="20"/>
          <w:color w:val="auto"/>
        </w:rPr>
      </w:pPr>
      <w:r>
        <w:rPr>
          <w:rFonts w:ascii="Arial" w:cs="Arial" w:eastAsia="Arial" w:hAnsi="Arial"/>
          <w:sz w:val="15"/>
          <w:szCs w:val="15"/>
          <w:color w:val="auto"/>
        </w:rPr>
        <w:t>Basic and diluted net income per share of Class A common stock Weighted average shares outstanding of Class F common stock, basic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Basic and diluted net loss per share of Class F common stock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60" w:right="339" w:firstLine="203"/>
        <w:spacing w:after="0" w:line="253" w:lineRule="auto"/>
        <w:rPr>
          <w:sz w:val="20"/>
          <w:szCs w:val="20"/>
          <w:color w:val="auto"/>
        </w:rPr>
      </w:pPr>
      <w:r>
        <w:rPr>
          <w:rFonts w:ascii="Arial" w:cs="Arial" w:eastAsia="Arial" w:hAnsi="Arial"/>
          <w:sz w:val="14"/>
          <w:szCs w:val="14"/>
          <w:b w:val="1"/>
          <w:bCs w:val="1"/>
          <w:color w:val="auto"/>
        </w:rPr>
        <w:t>For the Three Months Ended March 31, 2021 As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-106045</wp:posOffset>
            </wp:positionV>
            <wp:extent cx="2108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5"/>
              <w:spacing w:after="0" w:line="156" w:lineRule="exact"/>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3"/>
              <w:spacing w:after="0" w:line="156" w:lineRule="exact"/>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3"/>
              <w:spacing w:after="0" w:line="156" w:lineRule="exact"/>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42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1,040,995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1,040,995</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23,328,204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1,934,212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25,262,417</w:t>
            </w: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8,986,296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(1,934,212)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7,052,083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8,986,296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(1,798,796)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594"/>
        </w:trPr>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For the Three Months Ended June 30, 2021</w:t>
            </w:r>
          </w:p>
        </w:tc>
        <w:tc>
          <w:tcPr>
            <w:tcW w:w="0" w:type="dxa"/>
            <w:vAlign w:val="bottom"/>
          </w:tcPr>
          <w:p>
            <w:pPr>
              <w:spacing w:after="0"/>
              <w:rPr>
                <w:sz w:val="1"/>
                <w:szCs w:val="1"/>
                <w:color w:val="auto"/>
              </w:rPr>
            </w:pPr>
          </w:p>
        </w:tc>
      </w:tr>
      <w:tr>
        <w:trPr>
          <w:trHeight w:val="146"/>
        </w:trPr>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425"/>
        </w:trPr>
        <w:tc>
          <w:tcPr>
            <w:tcW w:w="1020" w:type="dxa"/>
            <w:vAlign w:val="bottom"/>
            <w:gridSpan w:val="2"/>
          </w:tcPr>
          <w:p>
            <w:pPr>
              <w:jc w:val="right"/>
              <w:spacing w:after="0"/>
              <w:rPr>
                <w:sz w:val="20"/>
                <w:szCs w:val="20"/>
                <w:color w:val="auto"/>
              </w:rPr>
            </w:pPr>
            <w:r>
              <w:rPr>
                <w:rFonts w:ascii="Arial" w:cs="Arial" w:eastAsia="Arial" w:hAnsi="Arial"/>
                <w:sz w:val="18"/>
                <w:szCs w:val="18"/>
                <w:color w:val="auto"/>
                <w:w w:val="91"/>
              </w:rPr>
              <w:t>$ (4,301,444)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(4,301,444)</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27,388,576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2,138,924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29,527,500</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9,326,424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(2,138,924)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594"/>
        </w:trPr>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0" w:type="dxa"/>
            <w:vAlign w:val="bottom"/>
          </w:tcPr>
          <w:p>
            <w:pPr>
              <w:spacing w:after="0"/>
              <w:rPr>
                <w:sz w:val="1"/>
                <w:szCs w:val="1"/>
                <w:color w:val="auto"/>
              </w:rPr>
            </w:pPr>
          </w:p>
        </w:tc>
      </w:tr>
      <w:tr>
        <w:trPr>
          <w:trHeight w:val="133"/>
        </w:trPr>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020" w:type="dxa"/>
            <w:vAlign w:val="bottom"/>
            <w:gridSpan w:val="2"/>
          </w:tcPr>
          <w:p>
            <w:pPr>
              <w:jc w:val="right"/>
              <w:spacing w:after="0"/>
              <w:rPr>
                <w:sz w:val="20"/>
                <w:szCs w:val="20"/>
                <w:color w:val="auto"/>
              </w:rPr>
            </w:pPr>
            <w:r>
              <w:rPr>
                <w:rFonts w:ascii="Arial" w:cs="Arial" w:eastAsia="Arial" w:hAnsi="Arial"/>
                <w:sz w:val="18"/>
                <w:szCs w:val="18"/>
                <w:color w:val="auto"/>
                <w:w w:val="91"/>
              </w:rPr>
              <w:t>$ (3,260,449)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(3,260,449)</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27,332,731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27,406,740</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9,157,299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(2,037,133)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7,120,166</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566" w:lineRule="exact"/>
        <w:rPr>
          <w:sz w:val="20"/>
          <w:szCs w:val="20"/>
          <w:color w:val="auto"/>
        </w:rPr>
      </w:pPr>
    </w:p>
    <w:p>
      <w:pPr>
        <w:sectPr>
          <w:pgSz w:w="11900" w:h="16838" w:orient="portrait"/>
          <w:cols w:equalWidth="0" w:num="2">
            <w:col w:w="5400" w:space="240"/>
            <w:col w:w="3379"/>
          </w:cols>
          <w:pgMar w:left="1440" w:top="517" w:right="1440" w:bottom="1440" w:gutter="0" w:footer="0" w:header="0"/>
          <w:type w:val="continuous"/>
        </w:sectPr>
      </w:pPr>
    </w:p>
    <w:p>
      <w:pPr>
        <w:ind w:left="60" w:right="59"/>
        <w:spacing w:after="0" w:line="308" w:lineRule="auto"/>
        <w:rPr>
          <w:sz w:val="20"/>
          <w:szCs w:val="20"/>
          <w:color w:val="auto"/>
        </w:rPr>
      </w:pPr>
      <w:r>
        <w:rPr>
          <w:rFonts w:ascii="Arial" w:cs="Arial" w:eastAsia="Arial" w:hAnsi="Arial"/>
          <w:sz w:val="17"/>
          <w:szCs w:val="17"/>
          <w:color w:val="auto"/>
        </w:rPr>
        <w:t>The condensed consolidated financial statements of the Company include its wholly-owned subsidiaries in connection with the planned merger. All inter-company accounts and transactions are eliminated in consolidation.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This may make comparison of the Company’s unaudited condensed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Actual results could differ from those estimates.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As of September 30, 2021, the Company has not experienced losses on these accounts and management believes the Company is not exposed to significant risks on such accounts.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as of September 30, 2021, and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Held in the Trust Account</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are included in net gain from investments held in Trust Account in the accompanying unaudited condensed consolidated statements of operations. The estimated fair values of investments held in the Trust Account are determined using available market information.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Topic 820, “Fair Value Measurements,” equal or approximate the carrying amounts represented in the condensed balance sheets.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hierarchy gives the highest priority to unadjusted quoted prices in active markets for identical assets or liabilities (Level 1 measurements) and the lowest priority to unobservable inputs (Level 3 measurements). These tiers consist of:</w:t>
      </w:r>
    </w:p>
    <w:p>
      <w:pPr>
        <w:spacing w:after="0" w:line="124" w:lineRule="exact"/>
        <w:rPr>
          <w:sz w:val="20"/>
          <w:szCs w:val="20"/>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statements of operations. Offering costs associated with the Public Shares were charged against the carrying value of Class A common stock upon the completion of the Initial Public Offering.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Working Capital Loan – Related Party</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has elected the fair value option to account for its working capital loan – related party with its Sponsor as defined and more fully described in Note 4. As a result of applying the fair value option, the Company records each draw at fair value with a gain or loss recognized at issuance, and subsequent changes in fair value are recorded as change in the fair value of working capital loan – related party on the condensed statement of operations. The fair value is based on prices or valuation techniques that require inputs that are both unobservable and significant to the overall fair value measurement. These inputs reflect management’s and, if applicable, an independent third-party valuation firm’s own assumption about the assumptions a market participant would use in pricing the asset or liability.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Warrant Liabilities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Topic 815, “Derivatives and Hedging” (“ASC 815”). The classification of derivative instruments, including whether such instruments should be recorded as liabilities or as equity, is re-assessed at the end of each reporting period.</w:t>
      </w:r>
    </w:p>
    <w:p>
      <w:pPr>
        <w:spacing w:after="0" w:line="1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accounts for its warrants issued in connection with its Initial Public Offering and Private Placement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condensed consolidated statements of operations. The fair value of warrants issued in connection with the Initial Public Offering was initially measured using Binominal Lattice simulation and subsequently been measured on the market price of such warrants at each measurement date when separately listed and traded. The fair value of warrants issued in connection with the Private Placement has been estimated using modified Black-Scholes Option Pricing Model at each measurement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ASC Topic 480 “Distinguishing Liabilities from Equity.” Class A common stock subject to mandatory redemption (if any) are classified as liability instruments and are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are classified as temporary equity. At all other times, Class A common stock are classified as stockholders’ equity. The Company’s Class A common stock feature certain redemption rights that are considered to be outside of the Company’s control and subject to occurrence of uncertain future events. Accordingly, as of September 30, 2021, 28,750,000 shares of Class A common stock subject to possible redemption at the redemption amount were presented at redemption value as temporary equity, outside of the stockholders’ equity section of the Company’s consolidated balance sheets.</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with the closing of the Initial Public Offering, the Company recognized the accretion from initial book value to redemption amount, which resulted in charges against additional paid-in capital (to the extent available) and accumulated deficit.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Share of Common Stock</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The Company has two classes of shares, which are referred to as Class A common stock and Class F common stock. Income and losses are shared pro rata between the two classes of shares. Net income (loss) per share of common stock is calculated by dividing the net income (loss) by the weighted average number of common stock outstanding for the respective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calculation of diluted net loss per share of common stock does not consider the effect of the warrants underlying the Units sold in the Initial Public Offering and the Private Placement Warrants to purchase 9,842,500 shares of Class A common stock in the calculation of diluted loss per share, because their inclusion would be anti-dilutive under the treasury stock method. As a result, diluted net loss per share of common stock is the same as basic net loss per share of common stock for the three and nine months ended September 30, 2021. Accretion associated with the redeemable Class A common stock is excluded from earnings per share as the redemption value approximates fair value.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table below presents a reconciliation of the numerator and denominator used to compute basic and diluted net loss per share of common stock for each class of common stock:</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September 30, 2021</w:t>
            </w:r>
          </w:p>
        </w:tc>
      </w:tr>
      <w:tr>
        <w:trPr>
          <w:trHeight w:val="142"/>
        </w:trPr>
        <w:tc>
          <w:tcPr>
            <w:tcW w:w="35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Class F</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Class F</w:t>
            </w:r>
          </w:p>
        </w:tc>
      </w:tr>
      <w:tr>
        <w:trPr>
          <w:trHeight w:val="209"/>
        </w:trPr>
        <w:tc>
          <w:tcPr>
            <w:tcW w:w="3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Allocation of net loss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(333,219)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(81,111)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(2,930,445)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(744,334)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w w:val="92"/>
              </w:rPr>
              <w:t>Weighted average common stock outstanding,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29,527,500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7,187,500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28,121,429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7,142,857</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Basic and diluted net loss per share of common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2021. The Company recognizes accrued interest and penalties related to unrecognized tax benefits as income tax expense. No amounts were accrued for the payment of interest and penalties as of September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Derivatives and Hedging—Contracts in Entity’s Own Equity (Subtopic 815-40): Accounting for Convertible Instruments and Contracts in an Entity’s Own Equity </w:t>
      </w:r>
      <w:r>
        <w:rPr>
          <w:rFonts w:ascii="Arial" w:cs="Arial" w:eastAsia="Arial" w:hAnsi="Arial"/>
          <w:sz w:val="17"/>
          <w:szCs w:val="17"/>
          <w:color w:val="auto"/>
        </w:rPr>
        <w:t>(“ASU 2020-06”), which simplifies accounting for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management does not believe that any other recently issued, but not yet effective, accounting standards if currently adopted would have a material effect on the accompanying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3—Initial Public Offering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January 14, 2021, the Company consummated its Initial Public Offering of 28,750,000 Units, including 3,750,000 Over-Allotment Units, at $10.00 per Unit, generating gross proceeds of $287.5 million, and incurring offering costs of approximately $6.2 million.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Each Unit consists of one share of Class A common stock, and one-third of one redeemable warrant (each, a “Public Warrant”). Each Public Warrant entitles the holder to purchase one share of Class A common stock at a price of $11.50 per share, subject to adjustment (see Note 8).</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certain qualified institutional buyer (the “Anchor Investor”) purchased 1,000,000 Units in the Initial Public Offering. The Anchor Investor subscribed for membership interests in the Sponsor representing an indirect beneficial interest in 212,621 Founder Shares and 28,750 Private Placement Units.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Anchor Investor agreed to vote any shares that it holds (including any Public Shares that it holds) in favor of the initial Business Combination, and a smaller portion of affirmative votes from other Public Stockholders would be required to approve the initial Business Combination. As a result of the Private Placement Units that the Anchor Investor holds, it may have different interests with respect to a vote on an initial Business Combination than other Public Stockholders.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Anchor Investor will not have any rights to the funds held in the Trust Account beyond the rights afforded to the Public Stockholders, as described herein.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October 2020, the Sponsor purchased 7,187,500 shares of the Company’s Class F common stock, par value $0.0001 per share, (the “Founder Shares”) for an aggregate price of $25,000. The initial stockholders agreed to forfeit up to 937,500 Founder Shares to the extent that the over-allotment option was not exercised in full by the underwriters, so that the Founder Shares would represent 20% of the Company’s issued and outstanding shares after the Initial Public Offering (excluding the shares comprising the Private Placement Units). The underwriter exercised its over-allotment option in full on January 14, 2021; thus, the 937,500 Founder Shares were no longer subject to forfeiture.</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initial stockholders agreed, subject to limited exceptions, not to transfer, assign or sell any of the Founder Shares until the earlier to occur of: (A) one year after the completion of the initial Business Combination or (B) subsequent to the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following the completion of the initial Business Combination on which the Company completes a liquidation, merger, stock exchange, reorganization or other similar transaction that results in all of the stockholders having the right to exchange their shares of Class A common stock for cash, securities or other property.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Private Placement Units</w:t>
      </w:r>
    </w:p>
    <w:p>
      <w:pPr>
        <w:spacing w:after="0" w:line="18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777,500 Private Placement Units at a price of $10.00 per Private Placement Unit to the Sponsor, PA 2 Co-Investment LLC, and Craig-Hallum Capital Group LLC and its affiliate, generating proceeds of approximately $7.8 million, and incurring offering cots of approximately $12,000.</w:t>
      </w:r>
    </w:p>
    <w:p>
      <w:pPr>
        <w:spacing w:after="0" w:line="16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Each whole private placement warrant underlying the Private Placement Units (the “Private Placement Warrants”) is exercisable for one whole share of Class A common stock at a price of $11.50 per share. A portion of the proceeds from the Private Placement Units has been added to the proceeds from the Initial Public Offering to be held in the Trust Account. The Private Placement Units (including the shares comprising the Private Placement Units, the Private Placement Warrants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shares of Class A common stock issuable upon exercise of such warrants) are not transferable or salable until 30 days after the completion of the initial Business Combination, and are not subject to redemption. If the Company does not complete a Business Combination within the Combination Period, the Private Placement Units and the underlying securities will expire worthless.</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October 15, 2020,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$300,000 under the Note as of December 31, 2020, and repaid the Note in full on January 14, 2021.</w:t>
      </w:r>
    </w:p>
    <w:p>
      <w:pPr>
        <w:spacing w:after="0" w:line="14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addition, an affiliate of the Sponsor advanced approximately $13,000 to cover for certain expenses on behalf of the Company. The Company reimbursed the advances from the affiliate of the Sponsor in full in February 2021.</w:t>
      </w:r>
    </w:p>
    <w:p>
      <w:pPr>
        <w:spacing w:after="0" w:line="10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members of our management team or any of their affiliates or other third parties, may, but are not obligated to (except as described below),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units of the post-Business Combination entity at a price of $10.00 per unit at the option of the lender. The units would be identical to the Private Placement Units. Except for the foregoing, the terms of such Working Capital Loans, if any, have not been determined and no written agreements exist with respect to such loans.</w:t>
      </w:r>
    </w:p>
    <w:p>
      <w:pPr>
        <w:spacing w:after="0" w:line="15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As described above, up to $1.5 million of the Sponsor Loan Commitment (in the aggregate with any other Working Capital Loans) may be convertible into units of the post-Business Combination entity at a price of $10.00 per unit at the option of the lender. As of September 30, 2021, the Company borrowed from the Sponsor the amount of $1.0 million under the Sponsor Loan Commitment, presented at an estimate of its fair value on the accompanying unaudited condensed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Services Agreement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Commencing on the date of the listing of the Units on the Nasdaq Capital Market through the earlier of the consummation of the initial Business Combination or the liquidation of the Company, the Company will pay the Sponsor $20,000 per month for office space, utilities, general office and secretarial support, and administrative and support services. For the three and nine months ended September 30, 2021, the Company incurred and paid approximately $60,000 and $180,000 in expenses for these services, respectively.</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addition, the Sponsor, executive officers and directors, or any of their respective affiliates will be reimbursed for any out-of-pocket expenses incurred in connection with activities on the Company’s behalf such as identifying potential partner businesses and performing due diligence on suitable Business Combinations. The Company’s audit committee will review on a quarterly basis all payments that were made by the Company to the Sponsor, executive officers or directors, or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Company’s or their affiliates. Any such payments prior to an initial Business Combination will be made using funds held outside the Trust Account.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5—Commitments &amp;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the Company registered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engaged certain underwriters in connection with the Business Combination to assist the Company in holding meetings with the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scope of engagement excludes identifying and/or evaluating possible acquisition candidates. Pursuant to the agreement with the underwriters, the marketing fee payable to the underwriters will be 3.5% of the gross proceeds of the Initial Public Offering, approximately $10.1 million in the aggregate.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As of September 30, 2021, there were 9,583,333 Public Warrants and 259,167 Private Placement Warrants outstanding. There were no warrants outstanding at December 31, 2020. 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the Company will use its commercially reasonable efforts to file with the SEC and have an effective registration statement covering the shares of the Class A common stock issuable upon exercise of the warrants and to maintain a current prospectus relating to those shares of the Class A common stock until the warrants expire or are redeemed, as specified in the warrant agreement. If a registration statement covering the shares of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7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warrants have an exercise price of $11.50 per whole share, subject to adjustments, and will expire five years after the completion of a Business Combination or earlier upon redemption or liquidation.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initial stockholders or their respective affiliates, without taking into account any Founder Shares or shares comprising the Private Placement Units held by them prior to such issuance), (y) the aggregate gross proceeds from such issuances represent more than 60% of the total equity proceeds, and interest thereon, available for the funding of the initial Business Combination, and (z) the volume weighted average trading price of the Class A common stock during the 10 trading day period starting on the trading day after the day on which the Company consummates its initial Business Combination (such price, the “Market Value”) is below $9.20 per share, the exercise price of the warrants will be adjusted (to the nearest cent) to be equal to 115% of the Market Value, and the $18.00 per share redemption trigger price described below will be adjusted (to the nearest cent) to be equal to 180% of the Market Value.</w:t>
      </w:r>
    </w:p>
    <w:p>
      <w:pPr>
        <w:spacing w:after="0" w:line="17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for cash (except as described herein with respect to the Private Placement Warrants):</w:t>
      </w:r>
    </w:p>
    <w:p>
      <w:pPr>
        <w:spacing w:after="0" w:line="170"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720" w:right="79" w:hanging="319"/>
        <w:spacing w:after="0" w:line="25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common stock equals or exceeds $18.00 per share (as adjusted for stock splits, stock dividends, reorganizations, recapitalizations and the like and for certain issuances of Class A common stock and equity-linked securities as described above) for any 20 trading days within a 30-trading day period ending on the third trading day prior to the date on which the Company sends the notice of redemption to the warrant holders.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will not redeem the warrants unless a registration statement under the Securities Act covering the issuance of the shares of Class A common stock issuable upon exercise of the warrants is then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the Company, it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If the Company calls the warrants for redemption as described above, the management will have the option to require all holders that wish to exercise warrants to do so on a “cashless basis.”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Redemption of warrants for when the price per share of Class A common stock equals or exceeds $10.00:</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Commencing ninety days after the warrants become exercisable, the Company may redeem the outstanding Public Warrants:</w:t>
      </w:r>
    </w:p>
    <w:p>
      <w:pPr>
        <w:spacing w:after="0" w:line="170"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9"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jc w:val="both"/>
        <w:ind w:left="720" w:right="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Class A Common Stock Subject to Possible Redemption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Class A common stock feature certain redemption rights that are considered to be outside of the Company’s control and subject to the occurrence of future events. The Company is authorized to issue 500,000,000 Class A common stock with a par value of $0.0001 per share. Holders of the Company’s Class A common stock are entitled to one vote for each share. As of September 30, 2021, there were 29,527,500 Class A common stock outstanding, 28,750,000 of which were subject to possible redemption and are classified outside of permanent equity in the condensed consolidated balance sheet.</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Class A common stock subject to possible redemption reflected on the condensed consolidated balance sheet is reconciled on the following table: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received from Initial Public Offering</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287,500,000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Less: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Public Warrants at issuance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(11,116,667)</w:t>
            </w: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Offering costs allocated to Class A common stock</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(5,989,181)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Accretion on Class A common stock to redemption value</w:t>
            </w:r>
          </w:p>
        </w:tc>
        <w:tc>
          <w:tcPr>
            <w:tcW w:w="1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17,105,848</w:t>
            </w:r>
          </w:p>
        </w:tc>
      </w:tr>
      <w:tr>
        <w:trPr>
          <w:trHeight w:val="209"/>
        </w:trPr>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Class A common stock subject to possible redemption</w:t>
            </w:r>
          </w:p>
        </w:tc>
        <w:tc>
          <w:tcPr>
            <w:tcW w:w="1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287,500,000</w:t>
            </w:r>
          </w:p>
        </w:tc>
      </w:tr>
      <w:tr>
        <w:trPr>
          <w:trHeight w:val="20"/>
        </w:trPr>
        <w:tc>
          <w:tcPr>
            <w:tcW w:w="5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8—Stockholders’ Equity (Deficit)</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 The Company filed its initial Certificate of Incorporation on September 9, 2020, which authorized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preferred stock. The Company filed its A&amp;R Certificate of Incorporation on January 11, 2021, which authorized 5,000,000 shares of preferred stock, par value $0.0001 per share. The Company is authorized to issue 5,000,000 shares of preferred stock, par value $0.0001 per share, with such designations, voting and other rights and preferences as may be determined from time to time by the Company’s board of directors. As of September 30, 2021, and December 31, 2020, there were no shares of preferred stock issued or outstanding.</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filed its initial Certificate of Incorporation on September 9, 2020,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no shares of Class A common stock. The Company filed its A&amp;R Certificate of Incorporation on January 11, 2021, which authorized 500,000,000 shares of Class A common stock, par value $0.0001 per share. The Company is authorized to issue 500,000,000 shares of Class A common stock with a par value of $0.0001 per share. As of September 30, 2021, there were 29,527,500 shares of Class A common stock issued and outstanding, including 28,750,000 shares of Class A common stock subject to possible redemption. At December 31, 2020, there were no Class A common stock issued and outstanding.</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Class F Common Stock - </w:t>
      </w:r>
      <w:r>
        <w:rPr>
          <w:rFonts w:ascii="Arial" w:cs="Arial" w:eastAsia="Arial" w:hAnsi="Arial"/>
          <w:sz w:val="18"/>
          <w:szCs w:val="18"/>
          <w:color w:val="auto"/>
        </w:rPr>
        <w:t>The Company is authorized to issue 25,000,000 shares of Class F common stock with a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$0.0001 per share. In October 2020, the Company issued 7,187,500 shares of Class F common stock, including an aggregate of 937,500 shares of Class F common stock that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(excluding the shares comprising the Private Placement Units). The underwriter exercised its over-allotment option in full on January 14, 2021; thus, the 937,500 shares of Class F common stock were no longer subject to forfeiture.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the Class A common stock and holders of the Class F common stock of record are entitled to one vote for each share held on all matters to be voted on by stockholders, including any vote in connection with the initial Business Combination, and vote together as a single class, except as required by law.</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Class F common stock will automatically convert into Class A common stock at the time of the initial Business Combination, or earlier at the option of the holder, on a one-for-one basis, subject to increase in respect of the issuance of certain securities, as provided herein. In the case that additional shares of Class A common stock, or equity-linked securities (as described herein), are issued or deemed issued in excess of the amounts sold in the Initial Public Offering and related to the closing of the initial Business Combination, the ratio at which shares of Class F common stock shall convert into shares of Class A common stock will be adjusted (unless the holders of a majority of the outstanding shares of Class F common stock agree to waive such adjustment with respect to any such issuance or deemed issuance) so that the number of shares of Class A common stock issuable upon conversion of all shares of Class F common stock will equal, in the aggregate, 20% of the aggregate number of all shares of common stock outstanding upon the completion of the Initial Public Offering, plus the aggregate number of shares of Class A common stock and equity-linked securities issued or deemed issued in connection with the initial Business Combination (net of the number of shares of Class A common stock redeemed in connection with the initial Business Combination), excluding any shares or equity-linked securities issued, or to be issued, to any seller in the initial Business Combination.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9—Fair Value Measurements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as of September 30, 2021, and indicates the fair value hierarchy of the valuation techniques that the Company utilized to determine such fair value.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0"/>
          </w:tcPr>
          <w:p>
            <w:pPr>
              <w:jc w:val="right"/>
              <w:ind w:right="534"/>
              <w:spacing w:after="0"/>
              <w:rPr>
                <w:sz w:val="20"/>
                <w:szCs w:val="20"/>
                <w:color w:val="auto"/>
              </w:rPr>
            </w:pPr>
            <w:r>
              <w:rPr>
                <w:rFonts w:ascii="Arial" w:cs="Arial" w:eastAsia="Arial" w:hAnsi="Arial"/>
                <w:sz w:val="14"/>
                <w:szCs w:val="14"/>
                <w:b w:val="1"/>
                <w:bCs w:val="1"/>
                <w:color w:val="auto"/>
              </w:rPr>
              <w:t>Fair Value Measured as of September 30, 2021</w:t>
            </w:r>
          </w:p>
        </w:tc>
      </w:tr>
      <w:tr>
        <w:trPr>
          <w:trHeight w:val="142"/>
        </w:trPr>
        <w:tc>
          <w:tcPr>
            <w:tcW w:w="46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w w:val="94"/>
              </w:rPr>
              <w:t>Investments held in Trust Account - U.S. Treasury securities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287,510,994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287,510,994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Working capital loan - related party</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 - public warrants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11,883,333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11,883,333</w:t>
            </w:r>
          </w:p>
        </w:tc>
      </w:tr>
      <w:tr>
        <w:trPr>
          <w:trHeight w:val="230"/>
        </w:trPr>
        <w:tc>
          <w:tcPr>
            <w:tcW w:w="4640" w:type="dxa"/>
            <w:vAlign w:val="bottom"/>
          </w:tcPr>
          <w:p>
            <w:pPr>
              <w:ind w:left="100"/>
              <w:spacing w:after="0"/>
              <w:rPr>
                <w:sz w:val="20"/>
                <w:szCs w:val="20"/>
                <w:color w:val="auto"/>
              </w:rPr>
            </w:pPr>
            <w:r>
              <w:rPr>
                <w:rFonts w:ascii="Arial" w:cs="Arial" w:eastAsia="Arial" w:hAnsi="Arial"/>
                <w:sz w:val="18"/>
                <w:szCs w:val="18"/>
                <w:color w:val="auto"/>
              </w:rPr>
              <w:t>Warrant liabilities - private warrants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331,109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331,109</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December 31, 2020, there were no assets or liabilities that were measured at fair value on a recurring basis.</w:t>
      </w:r>
    </w:p>
    <w:p>
      <w:pPr>
        <w:spacing w:after="0" w:line="23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in March 2021, when the Public Warrants were separately listed and traded. There were no other transfers in the three or nine months ended September 30, 2021.</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Level 1 instruments include investments invested in government securities. The Company uses inputs such as actual trade data, benchmark yields, quoted market prices from dealers or brokers, and other similar sources to determine the fair value of its investments.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fair value of public warrants issued in connection with the Initial Public Offering was initially measured using Binominal Lattice simulation and subsequently been measured at the market price of such warrants at each measurement date when separately listed and traded. The fair value of private warrants issued in connection with the Private Placement is estimated using modified Black-Scholes Option Pricing Model at each measurement date. For the three months ended September 30, 2021, the Company recognized a gain resulting from a decrease in the fair value of warrant liabilities of approximately $110,000 and for the nine months ended September 30, 2021, the Company recognized a loss from an increase of approximately $807,000 presented as change in fair value of derivative warrant liabilities on the accompanying unaudited condensed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 in the fair value of the Level 3 derivative warrant liabilities for the period for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is summarized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at January 1, 2021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Issuance of public and private warrants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11,407,475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Public warrants transfer to Level 1</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(11,116,667)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8"/>
              </w:rPr>
              <w:t>Change in fair value of warrant liabilities</w:t>
            </w:r>
          </w:p>
        </w:tc>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at March 31, 2021</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8"/>
              </w:rPr>
              <w:t>Change in fair value of warrant liabilities</w:t>
            </w:r>
          </w:p>
        </w:tc>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at June 30, 2021</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8"/>
              </w:rPr>
              <w:t>Change in fair value of warrant liabilities</w:t>
            </w:r>
          </w:p>
        </w:tc>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Warrant liabilities at September 30, 2021</w:t>
            </w:r>
          </w:p>
        </w:tc>
        <w:tc>
          <w:tcPr>
            <w:tcW w:w="2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760" w:type="dxa"/>
            <w:vAlign w:val="bottom"/>
            <w:vMerge w:val="restart"/>
          </w:tcPr>
          <w:p>
            <w:pPr>
              <w:jc w:val="right"/>
              <w:ind w:right="22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890 5TH AVENUE PARTNERS,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estimated fair value of the Private Placement Warrants, and the Public Warrants prior to being separately listed and traded, is determined using Level 3 inputs. Inherent in a Binominal Lattice simulation and modified Black-Scholes Option Pricing model are assumptions related to expected stock-price volatility, expected life, risk-free interest rate and dividend yield. The fair value of the working capital loan is estimated using a Scenario-based method. The Company estimates the volatility of its common stock warrants based on implied volatility from the Company’s traded warrants and from historical volatility of select peer company’s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40" w:type="dxa"/>
            <w:vAlign w:val="bottom"/>
            <w:gridSpan w:val="4"/>
          </w:tcPr>
          <w:p>
            <w:pPr>
              <w:ind w:left="1480"/>
              <w:spacing w:after="0"/>
              <w:rPr>
                <w:sz w:val="20"/>
                <w:szCs w:val="20"/>
                <w:color w:val="auto"/>
              </w:rPr>
            </w:pPr>
            <w:r>
              <w:rPr>
                <w:rFonts w:ascii="Arial" w:cs="Arial" w:eastAsia="Arial" w:hAnsi="Arial"/>
                <w:sz w:val="14"/>
                <w:szCs w:val="14"/>
                <w:b w:val="1"/>
                <w:bCs w:val="1"/>
                <w:color w:val="auto"/>
              </w:rPr>
              <w:t>September 30, 2021</w:t>
            </w:r>
          </w:p>
        </w:tc>
        <w:tc>
          <w:tcPr>
            <w:tcW w:w="1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January 14, 2021</w:t>
            </w:r>
          </w:p>
        </w:tc>
      </w:tr>
      <w:tr>
        <w:trPr>
          <w:trHeight w:val="209"/>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Stock Price</w:t>
            </w:r>
          </w:p>
        </w:tc>
        <w:tc>
          <w:tcPr>
            <w:tcW w:w="190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Volatility</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18.90 %</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18.00 %</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0.82 %</w:t>
            </w: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Dividend yield</w:t>
            </w: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10—Subsequent Events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date the unaudited condensed consolidated financial statements were issued required potential adjustment to or disclosure in the unaudited condensed consolidated financial statements and has concluded that all such events that would require recognition or disclosure have been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References to the “Company,” “890 5th Avenue Partners, Inc.,” “our,” “us” or “we” refer to 890 5th Avenue Partners,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are a blank check company incorporated in Delaware on September 9, 2020. We were formed for the purpose of effecting a merger, capital stock exchange, asset acquisition, stock purchase, reorganization or similar business combination with one or more businesses (the “Business Combination”). We are an emerging growth company and, as such, the Company is subject to all of the risks associated with emerging growth companies.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Sponsor and Financing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sponsor is 200 Park Avenue Partners, LLC, a Delaware limited liability company (the “Sponsor”). The registration statement for our Initial Public Offering was declared effective on January 11, 2021. On January 14, 2021, we consummated our Initial Public Offering of 28,750,000 units (the “Units” and, with respect to the Class A common stock included in the Units being offered, the “Public Shares”), including 3,750,000 additional Units to cover over-allotments (the “Over-Allotment Units”), at $10.00 per Unit, generating gross proceeds of $287.5 million, and incurring offering costs of approximately $6.2 million.</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(“Private Placement”) of 777,500 units (each, a “Private Placement Unit” and collectively, the “Private Placement Units”) at a price 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 and incurring offering costs of approximately $12,000.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Trust Account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Initial Public Offering and the Private Placement, an aggregate of $287.5 million ($10.00 per Unit) of the net proceeds of the Initial Public Offering and certain of the proceeds of the Private Placement was held in a trust account (“Trust Account”) located in the United States with Continental Stock Transfer &amp; Trust Company acting as trustee, and invested only in U.S.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we will be able to complete a Business Combination successfully. We must complete one or more initial Business Combinations having an aggregate fair market value of at least 80% of the net assets held in the Trust Account (as defined below) (excluding taxes payable on the income earned on the trust account) at the time of signing a definitive agreement in connection with the initial Business Combination. However, we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If we are unable to complete a Business Combination within 24 months from the closing of the Initial Public Offering, or January 14, 2023 (the “Combination Period”), we will (i) cease all operations except for the purpose of winding up; (ii) as promptly as reasonably possible but not more than 10 business days thereafter, redeem the Public Shares, at a per share price, payable in cash, equal to the aggregate amount then on deposit in the Trust Account, including interest earned on the funds held in the Trust Account and not previously released to us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of directors, dissolve and liquidate, subject in each case to our obligations under Delaware law to provide for claims of creditors and the requirements of other applicable law.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June 24, 2021, we entered into an Agreement and Plan of Merger (as amended from time to time, including by that certain Amendment No. 1 to Agreement and the Plan of Merger dated as of October 28, 2021, the “Merger Agreement”), by and among us, Bolt Merger Sub I, Inc., a Delaware corporation and a direct, wholly owned subsidiary of us (“Merger Sub I”), Bolt Merger Sub II, Inc., a Delaware corporation and a direct, wholly owned subsidiary of the us (“Merger Sub II”), and BuzzFeed, Inc., a Delaware corporation (“BuzzFeed”).</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Merger Agreement provides for, among other things, the following transactions at the closing: Merger Sub I will merge with and into BuzzFeed, with BuzzFeed as the surviving company in the merger and, after giving effect to such merger, continuing as a wholly owned subsidiary of the Company (the “Merger”). Immediately following the Merger, BuzzFeed will merge with and into Merger Sub II (the “Second Merger,” together with the Merger, the “Two-Step Merger”) with Merger Sub II being the surviving company of the Second Merger. The Two-Step Merger and the other transactions contemplated by the Merger Agreement are hereinafter referred to as the “Business Combination.”</w:t>
      </w:r>
    </w:p>
    <w:p>
      <w:pPr>
        <w:spacing w:after="0" w:line="17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In accordance with the terms and subject to the conditions of the Merger Agreement, each share of Class A common stock of BuzzFeed, Class B common stock of BuzzFeed, Class C common stock of BuzzFeed and preferred stock of BuzzFeed, other than company restricted stock awards, excluded shares and dissenting shares shall be cancelled and automatically converted into a number of shares of Class A common stock of us equal to the quotient, rounded to the tenth decimal place, obtained by dividing 30,880,000 by the aggregate number of shares of BuzzFeed Series F Preferred Stock and BuzzFeed Series G Preferred Stock outstanding as of the effective time; (ii) each share of BuzzFeed Class A Common Stock and BuzzFeed Preferred Stock (other than BuzzFeed Series F Preferred Stock, BuzzFeed Series G Preferred Stock, company restricted stock awards, excluded shares and dissenting shares) shall be converted into the right to receive a number of shares of Class A Common Stock of us equal to the quotient of: (A) the remaining per share amount, divided by (B) $10.00; (iii) each share of BuzzFeed Class B Common Stock (other than excluded shares and dissenting shares) shall be converted into the right to receive a number of shares of Class B common stock of the Company equal to the quotient of:</w:t>
      </w:r>
    </w:p>
    <w:p>
      <w:pPr>
        <w:spacing w:after="0" w:line="4" w:lineRule="exact"/>
        <w:rPr>
          <w:sz w:val="20"/>
          <w:szCs w:val="20"/>
          <w:color w:val="auto"/>
        </w:rPr>
      </w:pPr>
    </w:p>
    <w:p>
      <w:pPr>
        <w:jc w:val="both"/>
        <w:ind w:left="60" w:right="59" w:hanging="10"/>
        <w:spacing w:after="0" w:line="277" w:lineRule="auto"/>
        <w:tabs>
          <w:tab w:leader="none" w:pos="37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remaining per share amount, divided by (B) $10.00; and (iv) each share of BuzzFeed Class C Common Stock (other than excluded shares and dissenting shares) shall be converted into the right to receive a number of shares of Class C common stock of us equal to the quotient of: (A) the remaining per share amount, divided by (B) $10.00.</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foregoing description of the Merger Agreement is subject to and qualified in its entirety by reference to the full text of the Merger Agreement, a copy of which is included as Exhibit 2.1 hereto, and the terms of which are incorporated herein by reference.</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foregoing description of the Convertible Note Subscription Agreement and Indenture is subject to and qualified in its entirety by reference to the full text of the form of Convertible Note Subscription Agreement and Indenture, copies of which are included as Exhibits 10.1 and 10.6 hereto, respectively, and the terms of which are incorporated herein by reference.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Refer to our Current Report on Form 8-K filed with the Securities and Exchange Commission on June 24, 2021, and our Registration Statement on Form S-4/A filed with the Securities and Exchanges Commission on November 9, 2021, for additional information.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2021, we had approximately $60,000 in cash and working capital deficit of approximately $1.1 million.</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liquidity needs prior to the consummation of the Initial Public Offering were satisfied through the cash proceeds of $25,000 from the sale of the Founder Shares, loan from the Sponsor of $300,000 under the Note, and advances from related party of approximately $13,000. We repaid the Note of $300,000 in full on January 14, 2021 and we reimbursed the advances from the related party in full in February 2021. Subsequent to the consummation of the Initial Public Offering, our liquidity needs have been satisfied through the net proceeds from the consummation of the Initial Public Offering and the Private Placement held outside of the Trust Account. In addition, in order to finance transaction costs in connection with a Business Combination, the Sponsor, members of our management team or any of their affiliates or other third parties, may, but are not obligated to (except as described below), provide the Company with Working Capital Loans. The Working Capital Loans will either be repaid upon consummation of a Business Combination, without interest, or, at the lender’s discretion, up to $1.5 million of such Working Capital Loans may be convertible into units of the post-Business Combination entity at a price of $10.00 per unit. The units would be identical to the Private Placement Units.</w:t>
      </w:r>
    </w:p>
    <w:p>
      <w:pPr>
        <w:spacing w:after="0" w:line="17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27, 2021, the Sponsor committed to provide to the Company an aggregate of up to $1.6 million in loans, and on August 6, 2021, the Sponsor committed to provide to the Company an additional amount of up to $0.8 million in loans for an aggregate of up to $2.4 million in loans, in each case in order to finance the Company’s working capital needs (including transaction costs in connection with a Business Combination) (the foregoing, the “Sponsor Loan Commitment”). As described above, up to $1.5 million of the Sponsor Loan Commitment (in the aggregate with any other Working Capital Loans) may be convertible into units of the post-Business Combination entity at a price of $10.00 per unit at the option of the lender. As of September 30, 2021, the Company borrowed from the Sponsor the amount of $1.0 million under the Sponsor Loan Commitment, which amount remains outstanding.</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Based on the foregoing, management believes that we will have sufficient working capital and borrowing capacity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unaudited condensed consolidated financial statements. The unaudited condensed consolidated financial statements do not include any adjustments that might result from the outcome of this uncertainty.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entire activity since inception up to September 30, 2021 was in preparation for our formation, the Initial Public Offering , the search for and evaluation and due diligence of potential targets for an initial business combination, and the negotiation and drafting of documentation for the Business Combination and Convertible Note Financing. We will not be generating any operating revenues until the closing and completion of our initial Business Combination.</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three months ended September 30, 2021, we had net loss of approximately $414,000, which consisted of approximately $417,000 in general and administrative expenses, $60,000 in related party administrative fee, and approximately $50,000 in franchise tax expense, partially offset by approximately $110,000 in change in fair value of warrant liabilities and approximately $4,000 of net gain from investments held in Trust Account.</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nine months ended September 30, 2021, we had net loss of approximately $3.7 million, which consisted of approximately $2.3 million in general and administrative expenses, $180,000 in related party administrative fee, approximately $150,000 in franchise tax expense, approximately $232,000 offering costs associated with issuance of public and private warrants and approximately $807,000 in change in fair value of warrant liabilities, partially offset by approximately $11,000 of net gain from investments held in Trust Account.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holders of Founder Shares, Private Placement Units and units that may be issued upon conversion of Working Capital Loans (and any Class A common stock issuable upon the exercise of the Private Placement Units and units that may be issued upon conversion of Working Capital Loans and upon conversion of the Founder Shares) are entitled to registration rights pursuant to a registration rights agreement signed upon the consummation of the Initial Public Offering. These holders are entitled to make up to certain demands, excluding short form demands, that we registered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underwriters were entitled to an underwriting discount of $0.20 per unit, or approximately $5.8 million in the aggregate, paid upon the closing of the Initial Public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ASC Topic 480 “Distinguishing Liabilities from Equity.” Class A common stock subject to mandatory redemption (if any) are classified as liability instruments and are measured at fair value. Conditionally redeemable Class A common stock (including shares of Class A common stock that feature redemption rights that are either within the control of the holder or subject to redemption upon the occurrence of uncertain events not solely within our control) are classified as temporary equity. At all other times, Class A common stock are classified as stockholders’ equity. Our Class A common stock feature certain redemption rights that are considered to be outside of our control and subject to occurrence of uncertain future events. Accordingly, as of September 30, 2021, 28,750,000 shares of Class A common stock subject to possible redemption at the redemption amount were presented at redemption value as temporary equity, outside of the stockholders’ equity section of our balance sheet.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 of Common Stock</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comply with accounting and disclosure requirements of FASB ASC Topic 260, “Earnings Per Share.” We have two classes of shares, which are referred to as Class A common stock and Class F common stock. Income and losses are shared pro rata between the two classes of shares. Net income (loss) per share of common stock is calculated by dividing the net income (loss) by the weighted average number of common stock outstanding for the respective period.</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calculation of diluted net loss per share of common stock does not consider the effect of the warrants underlying the Units sold in the Initial Public Offering and the Private Placement Warrants to purchase 9,842,500 shares of Class A common stock in the calculation of diluted loss per share, because their inclusion would be anti-dilutive under the treasury stock method. As a result, diluted net loss per share of common stock is the same as basic net loss per share of common stock for the three and nine months ended September 30, 2021. Accretion associated with the redeemable Class A common stock is excluded from earnings per share as the redemption value approximates fair value.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warrant liabilities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its financial instruments, including issued stock purchase warrants, to determine if such instruments are derivatives or contain features that qualify as embedded derivatives, pursuant to ASC 480 and ASC Topic 815, “Derivatives and Hedging” (“ASC 815”). The classification of derivative instruments, including whether such instruments should be recorded as liabilities or as equity, is re-assessed at the end of each reporting period.</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account for our warrants issued in connection with its Initial Public Offering and Private Placement recognized as derivative liabilities in accordance with ASC 815. Accordingly, we recognize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was initially measured using Binominal Lattice simulation and subsequently been measured on the market price of such warrants at each measurement date when separately listed and traded. The fair value of warrants issued in connection with the Private Placement has been estimated using modified Black-Scholes Option Pricing Model at each measurement 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 Contracts in Entity’s Own Equity (Subtopic 815-40): Accounting for Convertible Instruments and Contracts in an Entity’s Own Equity </w:t>
      </w:r>
      <w:r>
        <w:rPr>
          <w:rFonts w:ascii="Arial" w:cs="Arial" w:eastAsia="Arial" w:hAnsi="Arial"/>
          <w:sz w:val="16"/>
          <w:szCs w:val="16"/>
          <w:color w:val="auto"/>
        </w:rPr>
        <w:t>(“ASU 2020-06”), which simplifies accounting for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by removing major separation models required under current GAAP. The ASU also removes certain settlement conditions that are required for equity-linked contracts to qualify for the derivative scope exception, and it simplifies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pronouncements, if currently adopted, would have a material impact on our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 As of September 30, 2021, we were not subject to any market or interest rate risk. The net proceeds of the Initial Public Offering, including amounts in the Trust Account, will be invested in U.S. government securities with a maturity of 185 days or less or in money market funds that meet certain conditions under Rule 2a-7 under the Investment Company Act of 1940, as amended, that invest only in direct U.S. government treasury obligations. Due to the short-term nature of these investments, we believe there will be no associated material exposure to interest rate risk.</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management evaluated, with the participation of our current chief executive officer and chief financial officer (our “Certifying Officers”), the effectiveness of our disclosure controls and procedures as of September 30, 2021, pursuant to Rule 13a-15(b) under the Exchange Act. Based upon that evaluation, our Certifying Officers concluded that our disclosure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controls and procedures were not effective as of September 30, 2021,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common stock and warrants issued by the Company was not effectively designed or maintained. This material weakness resulted in the restatement of the Company’s balance sheet as of January 14, 2021, and its interim financial statements for the quarters ended March 31, 2021, and June 30, 2021. Additionally, this material weakness could result in a misstatement of the warrant liability, Class A common stock, other complex financial instruments and related accounts and disclosures that would result in a material misstatement of the financial statements that would not be prevented or detected on a timely basis.</w:t>
      </w:r>
    </w:p>
    <w:p>
      <w:pPr>
        <w:spacing w:after="0" w:line="18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Chief Executive Officer and Chief Financial Officer performed additional accounting and financial analyses and other post-closing procedures including consulting with subject matter experts related to the accounting for certain complex features of the Class A common stock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As of the date of this Quarterly Report on Form 10-Q, there have been no material changes to the risk factors disclosed in our final prospectus filed with the SEC on January 13, 2021, except for the below risk factors. We may disclose changes to such factors or disclose additional factors from time to time in our future filings with the SEC.</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stockholders may be less than $10.00 per share.</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Staff Statement”). Specifically, the SEC Staff Statement focused on certain settlement terms and provisions related to certain tender offers following a business combination, which terms are similar to those contained in the warrant agreement governing our warrants.</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a result, included on our balance sheet as of September 30, 2021, contained in our Form 10-Q,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Warrants that are accounted for as a warrant liability will be recorded at fair value upon issuance with changes in fair value each period reported in earnings, which may have an adverse effect on the market price of our common stock and/or may make it more difficult for us to consummate an initial business combination.</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account for the 9,842,500 warrants issued in connection with the initial public offering (including the 9,583,333 warrants sold as part of the units in the initial public offering and the 259,167 private placement warrants underlying the private placement units) in accordance with the guidance contained in Derivatives and Hedging — Contracts in Entity’s Own Equity (ASC 815-40). Such guidance provides that because the warrants do not meet the criteria for equity treatment thereunder, each warrant must be recorded as a liability. Accordingly, we will classify each warrant as a liability at its fair value. This liability is subject to re-measurement at each balance sheet date. With each such remeasurement, the warrant liability will be adjusted to fair value, with the change in fair value recognized in our statement of operations and therefore our reported earnings. The impact of changes in fair value on earnings may have an adverse effect on the market price of our common stock. In addition, potential targets may seek a special purposes acquisition company (SPAC) that does not have warrants that are accounted for as a warrant liability, which may make it more difficult for us to consummate an initial business combination with a target business.</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January 14, 2021, March 31, 2021, June 30, 2021, and September 30, 2021. If we are unable to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Following the issuance of the SEC Staff Statement and subsequent informal guidance delivered by the SEC to accounting and audit practitioners in November 2021 regarding the accounting for certain complex financial instruments (such as our Class A common stock and warrants), our management concluded that, in light of the SEC Staff Statement and such informal guidance, our audited balance sheet as of January 14, 2021, and our interim financial statements for the quarters ended March 31, 2021, and June 30, 2021, should be restated. In connection with the foregoing development and solely as the result of such restatement, we identified a material weakness in our internal controls over financial reporting.</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For risk factors related to BuzzFeed and the Business Combination, please review the Registration Statement on Form S-4 that the Company filed with the SEC on July 30, 2021, including the preliminary proxy statement/prospectus of the Company included therein as amended by the Company from time to time, any post-effective amendments or supplements thereto to be filed by the Company, and the definitive proxy statement/prospectus filed by the Company on November 10,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(“Private Placement”) of 777,500 units (each, a “Private Placement Unit” and collectively, the “Private Placement Units”) at a price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$10.00 per Private Placement Unit to the Sponsor, PA 2 Co-Investment LLC (an affiliate of Cowen and Company, LLC, a representative of the underwriters), and Craig-Hallum Capital Group LLC (a representative of the underwriters) and its affiliate, generating proceeds of approximately $7.8 million.</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connection with the Initial Public Offering, our sponsor had agreed to loan us an aggregate of up to $300,000 pursuant to the Note. This loan is non-interest bearing and payable on the consummation of the Initial Public Offering. The Company repaid the Note in full on January 14, 2021.</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closing of the Initial Public Offering and the Private Placement, $287.5 million in the aggregate of net proceeds of the Initial Public Offering and certain of a portion of the proceeds of the Private Placement were placed in the Trust Account and invested in U.S. government treasury bills with a maturity of 185 days or less and in money market funds meeting certain conditions under Rule 2a-7 under the Investment Company Act which invest only in direct U.S. government treasury obligations.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paid a total of approximately $6.2 million in underwriting discounts and commissions and offering costs related to the Initial Public Offering.</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June 24, 2021, concurrently with the execution of the Merger Agreement, the Company entered into a convertible note subscription agreement (the “Convertible Note Subscription Agreement”) with certain investors (the “Note Investors”), in respect of $150.0 million aggregate principal amount of unsecured convertible notes due in 2026 (the “Notes”) to be issued in connection with the closing of the Business Combination The principal terms of the Notes are set forth in the term sheet attached as an exhibit to the Convertible Note Subscription Agreement and will be embodied in an indenture to be entered into in connection with the closing of the Business Combination between BuzzFeed, the guarantors party thereto and the indenture trustee (the “Indenture”) and the form of global note attached thereto. The Notes will bear interest at a rate of 7.00% per annum, payable semi-annually (provided, however, that if there is less than $144.0 million in 890’s trust account immediately following the closing date of the transactions subject of the Convertible Note Subscription Agreement (the “Convertible Note Financing”), the stated interest rate shall be 8.50% per annum), will be convertible into approximately 12,000,000 shares of Class A common stock at an initial conversion price of the lesser of (x) $12.50 and (y) a 25% premium to the lowest per share price at which any equity of 890 is issued prior to the closing of the Business Combination in accordance with the terms thereof, and shall mature on the date that is five years following the closing of the Convertible Note Financing. The securities that may be issued in connection with the Convertible Note Subscription Agreement will not be immediately registered under the Securities Act, in reliance on the exemption from registration provided by Section 4(a)(2) of the Securities Act and/or Regulation D promulgated thereunder.</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foregoing description of the Convertible Note Subscription Agreement and Indenture is subject to and qualified in its entirety by reference to the full text of the form of Convertible Note Subscription Agreement and Indenture, copies of which are included as Exhibits 10.1 and 10.6 hereto, respectively, and the terms of which are incorporated herein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7880" w:type="dxa"/>
            <w:vAlign w:val="bottom"/>
            <w:gridSpan w:val="29"/>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840" w:type="dxa"/>
            <w:vAlign w:val="bottom"/>
            <w:tcBorders>
              <w:top w:val="single" w:sz="8" w:color="auto"/>
            </w:tcBorders>
          </w:tcPr>
          <w:p>
            <w:pPr>
              <w:ind w:left="20"/>
              <w:spacing w:after="0" w:line="176"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5"/>
                <w:szCs w:val="15"/>
                <w:color w:val="auto"/>
              </w:rPr>
            </w:pPr>
          </w:p>
        </w:tc>
        <w:tc>
          <w:tcPr>
            <w:tcW w:w="7780" w:type="dxa"/>
            <w:vAlign w:val="bottom"/>
            <w:tcBorders>
              <w:top w:val="single" w:sz="8" w:color="auto"/>
              <w:bottom w:val="single" w:sz="8" w:color="0000EE"/>
            </w:tcBorders>
            <w:gridSpan w:val="26"/>
          </w:tcPr>
          <w:p>
            <w:pPr>
              <w:spacing w:after="0" w:line="17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Agreement and Plan of Merger, dated as of June 24, 2021, by and among the Registrant, Bolt Merger Sub I,</w:t>
              </w:r>
            </w:hyperlink>
          </w:p>
        </w:tc>
        <w:tc>
          <w:tcPr>
            <w:tcW w:w="80" w:type="dxa"/>
            <w:vAlign w:val="bottom"/>
            <w:tcBorders>
              <w:top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6"/>
              </w:rPr>
            </w:pPr>
            <w:hyperlink r:id="rId81">
              <w:r>
                <w:rPr>
                  <w:rFonts w:ascii="Arial" w:cs="Arial" w:eastAsia="Arial" w:hAnsi="Arial"/>
                  <w:sz w:val="18"/>
                  <w:szCs w:val="18"/>
                  <w:color w:val="0000EE"/>
                  <w:w w:val="96"/>
                </w:rPr>
                <w:t>Inc., Bolt Merger Sub II, Inc., and BuzzFeed, Inc. (incorporated by reference to Exhibit 2.1 of Form 8-K</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filed by the Registrant with the SEC on June 24, 2021).</w:t>
              </w:r>
            </w:hyperlink>
          </w:p>
        </w:tc>
        <w:tc>
          <w:tcPr>
            <w:tcW w:w="3520" w:type="dxa"/>
            <w:vAlign w:val="bottom"/>
            <w:tcBorders>
              <w:top w:val="single" w:sz="8" w:color="0000EE"/>
            </w:tcBorders>
            <w:gridSpan w:val="11"/>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Amendment No. 1 to Agreement and Plan of Merger, dated as of October 28, 2021, by and among the</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Registrant, Bolt Merger Sub I, Inc., Bolt Merger Sub II, Inc., and BuzzFeed, Inc. (incorporated by reference</w:t>
              </w:r>
            </w:hyperlink>
          </w:p>
        </w:tc>
        <w:tc>
          <w:tcPr>
            <w:tcW w:w="1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to Exhibit 2.1 of Form 8-K filed by the Registrant with the SEC on October 29, 2021).</w:t>
              </w:r>
            </w:hyperlink>
          </w:p>
        </w:tc>
        <w:tc>
          <w:tcPr>
            <w:tcW w:w="1640" w:type="dxa"/>
            <w:vAlign w:val="bottom"/>
            <w:gridSpan w:val="18"/>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6"/>
              </w:rPr>
            </w:pPr>
            <w:hyperlink r:id="rId83">
              <w:r>
                <w:rPr>
                  <w:rFonts w:ascii="Arial" w:cs="Arial" w:eastAsia="Arial" w:hAnsi="Arial"/>
                  <w:sz w:val="18"/>
                  <w:szCs w:val="18"/>
                  <w:color w:val="0000EE"/>
                  <w:w w:val="96"/>
                </w:rPr>
                <w:t>Form of Voting Agreement (incorporated by reference to Exhibit 4.1 of Form 8-K filed by the Registrant</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with the SEC on June 24, 2021).</w:t>
              </w:r>
            </w:hyperlink>
          </w:p>
        </w:tc>
        <w:tc>
          <w:tcPr>
            <w:tcW w:w="340" w:type="dxa"/>
            <w:vAlign w:val="bottom"/>
            <w:gridSpan w:val="9"/>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71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Amendment No. 1 of Registration Rights Agreement, dated as of June 24, 2021, by and among the</w:t>
              </w:r>
            </w:hyperlink>
          </w:p>
        </w:tc>
        <w:tc>
          <w:tcPr>
            <w:tcW w:w="760" w:type="dxa"/>
            <w:vAlign w:val="bottom"/>
            <w:gridSpan w:val="16"/>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Registrant, 200 Park Avenue Partners, LLC, PA 2 Co-Investment LLC and Craig-Hallum Capital Group</w:t>
              </w:r>
            </w:hyperlink>
          </w:p>
        </w:tc>
        <w:tc>
          <w:tcPr>
            <w:tcW w:w="380" w:type="dxa"/>
            <w:vAlign w:val="bottom"/>
            <w:gridSpan w:val="11"/>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LLC (incorporated by reference to Exhibit 4.2 of Form 8-K filed by the Registrant with the SEC on June 24,</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2021).</w:t>
              </w:r>
            </w:hyperlink>
          </w:p>
        </w:tc>
        <w:tc>
          <w:tcPr>
            <w:tcW w:w="1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Form of Amended and Restated Registration Rights Agreement (incorporated by reference to Exhibit 4.3 of</w:t>
              </w:r>
            </w:hyperlink>
          </w:p>
        </w:tc>
        <w:tc>
          <w:tcPr>
            <w:tcW w:w="1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Form 8-K filed by the Registrant with the SEC on June 24, 2021).</w:t>
              </w:r>
            </w:hyperlink>
          </w:p>
        </w:tc>
        <w:tc>
          <w:tcPr>
            <w:tcW w:w="3120" w:type="dxa"/>
            <w:vAlign w:val="bottom"/>
            <w:gridSpan w:val="20"/>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Form of Convertible Note Subscription Agreement (incorporated by reference to Exhibit 10.1 of Form 8-K</w:t>
              </w:r>
            </w:hyperlink>
          </w:p>
        </w:tc>
        <w:tc>
          <w:tcPr>
            <w:tcW w:w="160" w:type="dxa"/>
            <w:vAlign w:val="bottom"/>
            <w:gridSpan w:val="6"/>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filed by the Registrant with the SEC on June 24, 2021).</w:t>
              </w:r>
            </w:hyperlink>
          </w:p>
        </w:tc>
        <w:tc>
          <w:tcPr>
            <w:tcW w:w="3880" w:type="dxa"/>
            <w:vAlign w:val="bottom"/>
            <w:gridSpan w:val="21"/>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77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Sponsor Support Agreement, dated as of June 24, 2021, by and among 200 Park Avenue Partners, LLC, the</w:t>
              </w:r>
            </w:hyperlink>
          </w:p>
        </w:tc>
        <w:tc>
          <w:tcPr>
            <w:tcW w:w="140" w:type="dxa"/>
            <w:vAlign w:val="bottom"/>
            <w:gridSpan w:val="5"/>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Registrant and BuzzFeed, Inc. (incorporated by reference to Exhibit 10.2 of Form 8-K filed by the Registrant</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with the SEC on June 24, 2021).</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78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of Stockholder Support Agreement (incorporated by reference to Exhibit 10.3 of Form 8-K filed by the</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Registrant with the SEC on June 24, 2021).</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Loan Commitment Letter, dated May 27, 2021, from 200 Park Avenue Partners, LLC, the Registrant’s</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Sponsor, to the Registrant.</w:t>
              </w:r>
            </w:hyperlink>
          </w:p>
        </w:tc>
        <w:tc>
          <w:tcPr>
            <w:tcW w:w="5440" w:type="dxa"/>
            <w:vAlign w:val="bottom"/>
            <w:tcBorders>
              <w:top w:val="single" w:sz="8" w:color="0000EE"/>
            </w:tcBorders>
            <w:gridSpan w:val="12"/>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Loan Commitment Letter, dated August 6, 2021, from 200 Park Avenue Partners, LLC, the Registrant’s</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Sponsor, to the Registrant.</w:t>
              </w:r>
            </w:hyperlink>
          </w:p>
        </w:tc>
        <w:tc>
          <w:tcPr>
            <w:tcW w:w="5540" w:type="dxa"/>
            <w:vAlign w:val="bottom"/>
            <w:tcBorders>
              <w:top w:val="single" w:sz="8" w:color="0000EE"/>
            </w:tcBorders>
            <w:gridSpan w:val="14"/>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Form of Indenture between Registrant and Wilmington Savings Fund Society, FSB as Trustee (incorporated</w:t>
              </w:r>
            </w:hyperlink>
          </w:p>
        </w:tc>
        <w:tc>
          <w:tcPr>
            <w:tcW w:w="1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by reference to Exhibit 4.2 of the Registration Statement on Form S-4/A filed by the Registrant with the SEC</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on October 29, 2021).</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Certification of Chairman and Co-Chief Executive Officer (Principal Executive Officer) Pursuant to Rules</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13a-14(a) and 15d-14(a) under the Securities Exchange Act of 1934, as Adopted Pursuant to Section 302 of</w:t>
              </w:r>
            </w:hyperlink>
          </w:p>
        </w:tc>
        <w:tc>
          <w:tcPr>
            <w:tcW w:w="120" w:type="dxa"/>
            <w:vAlign w:val="bottom"/>
            <w:gridSpan w:val="4"/>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the Sarbanes-Oxley Act of 2002.</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Chief Financial Officer (Principal Financial and Accounting Officer) Pursuant to Rules 13a-</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14(a) and 15d-14(a) under the Securities Exchange Act of 1934, as Adopted Pursuant to Section 302 of the</w:t>
              </w:r>
            </w:hyperlink>
          </w:p>
        </w:tc>
        <w:tc>
          <w:tcPr>
            <w:tcW w:w="10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Sarbanes-Oxley Act of 2002.</w:t>
              </w:r>
            </w:hyperlink>
          </w:p>
        </w:tc>
        <w:tc>
          <w:tcPr>
            <w:tcW w:w="180" w:type="dxa"/>
            <w:vAlign w:val="bottom"/>
            <w:gridSpan w:val="7"/>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7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Chairman and Co-Chief Executive Officer (Principal Executive Officer) Pursuant to 18</w:t>
              </w:r>
            </w:hyperlink>
          </w:p>
        </w:tc>
        <w:tc>
          <w:tcPr>
            <w:tcW w:w="440" w:type="dxa"/>
            <w:vAlign w:val="bottom"/>
            <w:gridSpan w:val="1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U.S.C. Section 1350, as Adopted Pursuant to Section 906 of the Sarbanes-Oxley Act of 2002.</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gridSpan w:val="10"/>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7880" w:type="dxa"/>
            <w:vAlign w:val="bottom"/>
            <w:gridSpan w:val="29"/>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Certification of Chief Financial Officer (Principal Financial and Accounting Officer) Pursuant to 18 U.S.C.</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Section 1350, as Adopted Pursuant to Section 906 of the Sarbanes-Oxley Act of 2002.</w:t>
              </w:r>
            </w:hyperlink>
          </w:p>
        </w:tc>
        <w:tc>
          <w:tcPr>
            <w:tcW w:w="1500" w:type="dxa"/>
            <w:vAlign w:val="bottom"/>
            <w:tcBorders>
              <w:top w:val="single" w:sz="8" w:color="0000EE"/>
            </w:tcBorders>
            <w:gridSpan w:val="13"/>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22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880" w:type="dxa"/>
            <w:vAlign w:val="bottom"/>
            <w:gridSpan w:val="2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601(b)</w:t>
      </w:r>
    </w:p>
    <w:p>
      <w:pPr>
        <w:spacing w:after="0" w:line="46" w:lineRule="exact"/>
        <w:rPr>
          <w:rFonts w:ascii="Arial" w:cs="Arial" w:eastAsia="Arial" w:hAnsi="Arial"/>
          <w:sz w:val="16"/>
          <w:szCs w:val="16"/>
          <w:color w:val="auto"/>
        </w:rPr>
      </w:pPr>
    </w:p>
    <w:p>
      <w:pPr>
        <w:ind w:left="380" w:right="79"/>
        <w:spacing w:after="0" w:line="260" w:lineRule="auto"/>
        <w:rPr>
          <w:rFonts w:ascii="Arial" w:cs="Arial" w:eastAsia="Arial" w:hAnsi="Arial"/>
          <w:sz w:val="16"/>
          <w:szCs w:val="16"/>
          <w:color w:val="auto"/>
        </w:rPr>
      </w:pPr>
      <w:r>
        <w:rPr>
          <w:rFonts w:ascii="Arial" w:cs="Arial" w:eastAsia="Arial" w:hAnsi="Arial"/>
          <w:sz w:val="18"/>
          <w:szCs w:val="18"/>
          <w:color w:val="auto"/>
        </w:rPr>
        <w:t>(2). The Registrant agrees to furnish supplementally a copy of all omitted exhibits and schedules to the SEC upon its request.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59" w:lineRule="auto"/>
        <w:tabs>
          <w:tab w:leader="none" w:pos="38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80"/>
        <w:spacing w:after="0"/>
        <w:tabs>
          <w:tab w:leader="none" w:pos="4500" w:val="left"/>
        </w:tabs>
        <w:rPr>
          <w:sz w:val="20"/>
          <w:szCs w:val="20"/>
          <w:color w:val="auto"/>
        </w:rPr>
      </w:pPr>
      <w:r>
        <w:rPr>
          <w:rFonts w:ascii="Arial" w:cs="Arial" w:eastAsia="Arial" w:hAnsi="Arial"/>
          <w:sz w:val="18"/>
          <w:szCs w:val="18"/>
          <w:color w:val="auto"/>
        </w:rPr>
        <w:t>Dated: November 15, 2021</w:t>
      </w:r>
      <w:r>
        <w:rPr>
          <w:sz w:val="20"/>
          <w:szCs w:val="20"/>
          <w:color w:val="auto"/>
        </w:rPr>
        <w:tab/>
      </w:r>
      <w:r>
        <w:rPr>
          <w:rFonts w:ascii="Arial" w:cs="Arial" w:eastAsia="Arial" w:hAnsi="Arial"/>
          <w:sz w:val="17"/>
          <w:szCs w:val="17"/>
          <w:b w:val="1"/>
          <w:bCs w:val="1"/>
          <w:color w:val="auto"/>
        </w:rPr>
        <w:t>890 5TH AVENUE PARTNERS,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2494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Name:Emiliano Calemzuk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Park Avenue Partners,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6,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890 5th Avenue Partners,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14 Elm Place, Suite 206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Reference is hereby made to that certain letter from the undersigned to 890 5th Avenue Partners, Inc., a Delaware corporation (the “Company”), dated May 27, 2021 (the “May Loan Commitment Letter”), pursuant to which the undersigned committed to the Company that, through January 14, 2023, which date is the scheduled liquidation date of the Company if the Company is unable to complete a business combination prior to such date, to the extent that funds are needed by the Company and upon request by the Company, the undersigned will provide to the Company loans in an aggregate amount of up to $1,600,000.</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This letter is to confirm the undersigned’s commitment that, in addition to the amount committed pursuant to the May Loan Commitment Letter, through January 14, 2023, if the Company is unable to complete a business combination prior to such date, to the extent that funds are needed by the Company and upon request by the Company, the undersigned will provide to the Company loans in an aggregate amount of up to $800,000.</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loans will be non-interest bearing and unsecured, and upon the consummation of a business combination, at our option, will either (a) be repaid or (b) with respect to up to $1,500,000 of such loans (in the aggregate with any loans made under the May Loan Commitment Letter), may be convertible into units of the post- business combination entity at a price of $10.00 per unit (such units to be identical to the private placement units sold by the Company concurrently with its initial public offering).</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undersigned understands that if the Company does not consummate a business combination (as described in the Company’s prospectus, dated January 11, 2021), all amounts loaned to the Company hereunder and under the May Loan Commitment Letter will be forgiven except to the extent that the Company has funds available to it outside of its trust account established in connection with the Company’s initial public offering.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200 PARK AVENUE PARTNERS, LLC</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By:</w:t>
            </w:r>
          </w:p>
        </w:tc>
        <w:tc>
          <w:tcPr>
            <w:tcW w:w="8160" w:type="dxa"/>
            <w:vAlign w:val="bottom"/>
            <w:gridSpan w:val="2"/>
          </w:tcPr>
          <w:p>
            <w:pPr>
              <w:spacing w:after="0"/>
              <w:rPr>
                <w:sz w:val="20"/>
                <w:szCs w:val="20"/>
                <w:color w:val="auto"/>
              </w:rPr>
            </w:pPr>
            <w:r>
              <w:rPr>
                <w:rFonts w:ascii="Arial" w:cs="Arial" w:eastAsia="Arial" w:hAnsi="Arial"/>
                <w:sz w:val="18"/>
                <w:szCs w:val="18"/>
                <w:color w:val="auto"/>
              </w:rPr>
              <w:t>/s/ Adam Rothstein</w:t>
            </w:r>
          </w:p>
        </w:tc>
      </w:tr>
      <w:tr>
        <w:trPr>
          <w:trHeight w:val="195"/>
        </w:trPr>
        <w:tc>
          <w:tcPr>
            <w:tcW w:w="76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Adam Rothstein</w:t>
            </w:r>
          </w:p>
        </w:tc>
        <w:tc>
          <w:tcPr>
            <w:tcW w:w="4380" w:type="dxa"/>
            <w:vAlign w:val="bottom"/>
          </w:tcPr>
          <w:p>
            <w:pPr>
              <w:spacing w:after="0"/>
              <w:rPr>
                <w:sz w:val="16"/>
                <w:szCs w:val="16"/>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8160" w:type="dxa"/>
            <w:vAlign w:val="bottom"/>
            <w:gridSpan w:val="2"/>
          </w:tcPr>
          <w:p>
            <w:pPr>
              <w:spacing w:after="0"/>
              <w:rPr>
                <w:sz w:val="20"/>
                <w:szCs w:val="20"/>
                <w:color w:val="auto"/>
              </w:rPr>
            </w:pPr>
            <w:r>
              <w:rPr>
                <w:rFonts w:ascii="Arial" w:cs="Arial" w:eastAsia="Arial" w:hAnsi="Arial"/>
                <w:sz w:val="18"/>
                <w:szCs w:val="18"/>
                <w:color w:val="auto"/>
              </w:rPr>
              <w:t>Manager</w:t>
            </w:r>
          </w:p>
        </w:tc>
      </w:tr>
      <w:tr>
        <w:trPr>
          <w:trHeight w:val="776"/>
        </w:trPr>
        <w:tc>
          <w:tcPr>
            <w:tcW w:w="7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left="1000" w:right="1460"/>
        <w:spacing w:after="0" w:line="250"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Emiliano Calemzuk, certify that:</w:t>
      </w:r>
    </w:p>
    <w:p>
      <w:pPr>
        <w:spacing w:after="0" w:line="21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890 5</w:t>
      </w:r>
      <w:r>
        <w:rPr>
          <w:rFonts w:ascii="Arial" w:cs="Arial" w:eastAsia="Arial" w:hAnsi="Arial"/>
          <w:sz w:val="11"/>
          <w:szCs w:val="11"/>
          <w:color w:val="auto"/>
        </w:rPr>
        <w:t>th</w:t>
      </w:r>
      <w:r>
        <w:rPr>
          <w:rFonts w:ascii="Arial" w:cs="Arial" w:eastAsia="Arial" w:hAnsi="Arial"/>
          <w:sz w:val="16"/>
          <w:szCs w:val="16"/>
          <w:color w:val="auto"/>
        </w:rPr>
        <w:t xml:space="preserve"> Avenue Partners, Inc.;</w:t>
      </w:r>
    </w:p>
    <w:p>
      <w:pPr>
        <w:spacing w:after="0" w:line="234"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40" w:right="80" w:hanging="332"/>
        <w:spacing w:after="0" w:line="24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70"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11" w:lineRule="exact"/>
        <w:rPr>
          <w:rFonts w:ascii="Arial" w:cs="Arial" w:eastAsia="Arial" w:hAnsi="Arial"/>
          <w:sz w:val="18"/>
          <w:szCs w:val="18"/>
          <w:color w:val="auto"/>
        </w:rPr>
      </w:pPr>
    </w:p>
    <w:p>
      <w:pPr>
        <w:ind w:left="660" w:right="280" w:hanging="328"/>
        <w:spacing w:after="0" w:line="248"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300" w:hanging="328"/>
        <w:spacing w:after="0" w:line="294"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340" w:right="140" w:hanging="332"/>
        <w:spacing w:after="0" w:line="24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40" w:hanging="328"/>
        <w:spacing w:after="0" w:line="248"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28"/>
        <w:spacing w:after="0" w:line="261"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4"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color w:val="auto"/>
        </w:rPr>
        <w:t>By: /s/ Emiliano Calemzuk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Emiliano Calemzuk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000" w:right="1460"/>
        <w:spacing w:after="0" w:line="250"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Michael Del Nin, certify that:</w:t>
      </w:r>
    </w:p>
    <w:p>
      <w:pPr>
        <w:spacing w:after="0" w:line="21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890 5</w:t>
      </w:r>
      <w:r>
        <w:rPr>
          <w:rFonts w:ascii="Arial" w:cs="Arial" w:eastAsia="Arial" w:hAnsi="Arial"/>
          <w:sz w:val="11"/>
          <w:szCs w:val="11"/>
          <w:color w:val="auto"/>
        </w:rPr>
        <w:t>th</w:t>
      </w:r>
      <w:r>
        <w:rPr>
          <w:rFonts w:ascii="Arial" w:cs="Arial" w:eastAsia="Arial" w:hAnsi="Arial"/>
          <w:sz w:val="16"/>
          <w:szCs w:val="16"/>
          <w:color w:val="auto"/>
        </w:rPr>
        <w:t xml:space="preserve"> Avenue Partners, Inc.;</w:t>
      </w:r>
    </w:p>
    <w:p>
      <w:pPr>
        <w:spacing w:after="0" w:line="234"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40" w:right="80" w:hanging="332"/>
        <w:spacing w:after="0" w:line="24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70"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11" w:lineRule="exact"/>
        <w:rPr>
          <w:rFonts w:ascii="Arial" w:cs="Arial" w:eastAsia="Arial" w:hAnsi="Arial"/>
          <w:sz w:val="18"/>
          <w:szCs w:val="18"/>
          <w:color w:val="auto"/>
        </w:rPr>
      </w:pPr>
    </w:p>
    <w:p>
      <w:pPr>
        <w:ind w:left="660" w:right="280" w:hanging="328"/>
        <w:spacing w:after="0" w:line="248"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300" w:hanging="328"/>
        <w:spacing w:after="0" w:line="294"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340" w:right="140" w:hanging="332"/>
        <w:spacing w:after="0" w:line="24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40" w:hanging="328"/>
        <w:spacing w:after="0" w:line="248"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28"/>
        <w:spacing w:after="0" w:line="261"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4"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7"/>
          <w:szCs w:val="17"/>
          <w:color w:val="auto"/>
        </w:rPr>
        <w:t>By: /s/ Michael Del 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6350</wp:posOffset>
            </wp:positionV>
            <wp:extent cx="3008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Michael Del Nin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Quarterly Report on Form 10-Q of 890 5</w:t>
      </w:r>
      <w:r>
        <w:rPr>
          <w:rFonts w:ascii="Arial" w:cs="Arial" w:eastAsia="Arial" w:hAnsi="Arial"/>
          <w:sz w:val="13"/>
          <w:szCs w:val="13"/>
          <w:color w:val="auto"/>
        </w:rPr>
        <w:t>th</w:t>
      </w:r>
      <w:r>
        <w:rPr>
          <w:rFonts w:ascii="Arial" w:cs="Arial" w:eastAsia="Arial" w:hAnsi="Arial"/>
          <w:sz w:val="18"/>
          <w:szCs w:val="18"/>
          <w:color w:val="auto"/>
        </w:rPr>
        <w:t xml:space="preserve"> Avenue Partners,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quarter ended 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Emiliano Calemzuk, Chief Executive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40" w:right="24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color w:val="auto"/>
        </w:rPr>
        <w:t>/s/ Emiliano Calemzuk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6350</wp:posOffset>
            </wp:positionV>
            <wp:extent cx="3308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Emiliano Calemzuk</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Chief Executive Officer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connection with the Quarterly Report on Form 10-Q of 890 5</w:t>
      </w:r>
      <w:r>
        <w:rPr>
          <w:rFonts w:ascii="Arial" w:cs="Arial" w:eastAsia="Arial" w:hAnsi="Arial"/>
          <w:sz w:val="13"/>
          <w:szCs w:val="13"/>
          <w:color w:val="auto"/>
        </w:rPr>
        <w:t>th</w:t>
      </w:r>
      <w:r>
        <w:rPr>
          <w:rFonts w:ascii="Arial" w:cs="Arial" w:eastAsia="Arial" w:hAnsi="Arial"/>
          <w:sz w:val="18"/>
          <w:szCs w:val="18"/>
          <w:color w:val="auto"/>
        </w:rPr>
        <w:t xml:space="preserve"> Avenue Partners,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quarter ended 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Michael Del Nin, Chief Financial Officer of the Company, certify, pursuant to 18 U.S.C. Section 1350, as adopted pursuant to Section 906 of the Sarbanes-Oxley Act of 2002, that, to my knowledge:</w:t>
      </w:r>
    </w:p>
    <w:p>
      <w:pPr>
        <w:spacing w:after="0" w:line="18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340" w:right="24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7"/>
          <w:szCs w:val="17"/>
          <w:color w:val="auto"/>
        </w:rPr>
        <w:t>/s/ Michael Del 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6350</wp:posOffset>
            </wp:positionV>
            <wp:extent cx="30689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Michael Del Nin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Financial Officer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81" Type="http://schemas.openxmlformats.org/officeDocument/2006/relationships/hyperlink" Target="https://www.sec.gov/Archives/edgar/data/1828972/000110465921085218/tm2120621d1_ex2-1.htm" TargetMode="External"/><Relationship Id="rId82" Type="http://schemas.openxmlformats.org/officeDocument/2006/relationships/hyperlink" Target="https://www.sec.gov/Archives/edgar/data/1828972/000110465921131822/tm2131331d1_ex2-1.htm" TargetMode="External"/><Relationship Id="rId83" Type="http://schemas.openxmlformats.org/officeDocument/2006/relationships/hyperlink" Target="https://www.sec.gov/Archives/edgar/data/1828972/000110465921085218/tm2120621d1_ex4-1.htm" TargetMode="External"/><Relationship Id="rId84" Type="http://schemas.openxmlformats.org/officeDocument/2006/relationships/hyperlink" Target="https://www.sec.gov/Archives/edgar/data/1828972/000110465921085218/tm2120621d1_ex4-2.htm" TargetMode="External"/><Relationship Id="rId85" Type="http://schemas.openxmlformats.org/officeDocument/2006/relationships/hyperlink" Target="https://www.sec.gov/Archives/edgar/data/1828972/000110465921085218/tm2120621d1_ex10-1.htm" TargetMode="External"/><Relationship Id="rId86" Type="http://schemas.openxmlformats.org/officeDocument/2006/relationships/hyperlink" Target="https://www.sec.gov/Archives/edgar/data/1828972/000110465921085218/tm2120621d1_ex10-2.htm" TargetMode="External"/><Relationship Id="rId87" Type="http://schemas.openxmlformats.org/officeDocument/2006/relationships/hyperlink" Target="https://www.sec.gov/Archives/edgar/data/1828972/000110465921085218/tm2120621d1_ex10-3.htm" TargetMode="External"/><Relationship Id="rId88" Type="http://schemas.openxmlformats.org/officeDocument/2006/relationships/hyperlink" Target="https://www.sec.gov/Archives/edgar/data/1828972/000110465921105793/enfa-20210630xex10d4.htm" TargetMode="External"/><Relationship Id="rId89" Type="http://schemas.openxmlformats.org/officeDocument/2006/relationships/hyperlink" Target="https://www.sec.gov/Archives/edgar/data/1828972/000110465921131796/enfa-20211025x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2021-11-15T16:58:45Z</dcterms:created>
  <dcterms:modified xsi:type="dcterms:W3CDTF">2021-11-15T16:58:45Z</dcterms:modified>
</cp:coreProperties>
</file>