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21, 2023</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333-262105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S-1 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UNDER</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THE SECURITIES ACT OF 1933</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BuzzFeed,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73" w:lineRule="exact"/>
        <w:rPr>
          <w:sz w:val="24"/>
          <w:szCs w:val="24"/>
          <w:color w:val="auto"/>
        </w:rPr>
      </w:pPr>
    </w:p>
    <w:tbl>
      <w:tblPr>
        <w:tblLayout w:type="fixed"/>
        <w:tblInd w:w="1000" w:type="dxa"/>
        <w:tblCellMar>
          <w:top w:w="0" w:type="dxa"/>
          <w:left w:w="0" w:type="dxa"/>
          <w:bottom w:w="0" w:type="dxa"/>
          <w:right w:w="0" w:type="dxa"/>
        </w:tblCellMar>
      </w:tblPr>
      <w:tr>
        <w:trPr>
          <w:trHeight w:val="190"/>
        </w:trPr>
        <w:tc>
          <w:tcPr>
            <w:tcW w:w="2760" w:type="dxa"/>
            <w:vAlign w:val="bottom"/>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6770</w:t>
            </w:r>
          </w:p>
        </w:tc>
        <w:tc>
          <w:tcPr>
            <w:tcW w:w="2260" w:type="dxa"/>
            <w:vAlign w:val="bottom"/>
          </w:tcPr>
          <w:p>
            <w:pPr>
              <w:jc w:val="center"/>
              <w:ind w:left="1128"/>
              <w:spacing w:after="0"/>
              <w:rPr>
                <w:sz w:val="20"/>
                <w:szCs w:val="20"/>
                <w:color w:val="auto"/>
              </w:rPr>
            </w:pPr>
            <w:r>
              <w:rPr>
                <w:rFonts w:ascii="Times New Roman" w:cs="Times New Roman" w:eastAsia="Times New Roman" w:hAnsi="Times New Roman"/>
                <w:sz w:val="14"/>
                <w:szCs w:val="14"/>
                <w:b w:val="1"/>
                <w:bCs w:val="1"/>
                <w:color w:val="auto"/>
              </w:rPr>
              <w:t>85-3022075</w:t>
            </w:r>
          </w:p>
        </w:tc>
      </w:tr>
      <w:tr>
        <w:trPr>
          <w:trHeight w:val="163"/>
        </w:trPr>
        <w:tc>
          <w:tcPr>
            <w:tcW w:w="2760" w:type="dxa"/>
            <w:vAlign w:val="bottom"/>
          </w:tcPr>
          <w:p>
            <w:pPr>
              <w:jc w:val="center"/>
              <w:ind w:right="98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8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(Primary Standard Industrial</w:t>
            </w:r>
          </w:p>
        </w:tc>
        <w:tc>
          <w:tcPr>
            <w:tcW w:w="226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760" w:type="dxa"/>
            <w:vAlign w:val="bottom"/>
          </w:tcPr>
          <w:p>
            <w:pPr>
              <w:jc w:val="center"/>
              <w:ind w:right="9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8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226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229 West 43rd Street, 10th Floor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York, New York 10036</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(646) 589-8592</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Jonah Peretti</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229 West 43</w:t>
      </w:r>
      <w:r>
        <w:rPr>
          <w:rFonts w:ascii="Times New Roman" w:cs="Times New Roman" w:eastAsia="Times New Roman" w:hAnsi="Times New Roman"/>
          <w:sz w:val="18"/>
          <w:szCs w:val="18"/>
          <w:b w:val="1"/>
          <w:bCs w:val="1"/>
          <w:color w:val="auto"/>
          <w:vertAlign w:val="superscript"/>
        </w:rPr>
        <w:t>rd</w:t>
      </w:r>
      <w:r>
        <w:rPr>
          <w:rFonts w:ascii="Times New Roman" w:cs="Times New Roman" w:eastAsia="Times New Roman" w:hAnsi="Times New Roman"/>
          <w:sz w:val="14"/>
          <w:szCs w:val="14"/>
          <w:b w:val="1"/>
          <w:bCs w:val="1"/>
          <w:color w:val="auto"/>
        </w:rPr>
        <w:t xml:space="preserve"> Street, 10</w:t>
      </w:r>
      <w:r>
        <w:rPr>
          <w:rFonts w:ascii="Times New Roman" w:cs="Times New Roman" w:eastAsia="Times New Roman" w:hAnsi="Times New Roman"/>
          <w:sz w:val="18"/>
          <w:szCs w:val="18"/>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4"/>
          <w:szCs w:val="14"/>
          <w:b w:val="1"/>
          <w:bCs w:val="1"/>
          <w:color w:val="auto"/>
        </w:rPr>
        <w:t>New York, New York 10036</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(646) 589-8592</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12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Valerie Ford Jacob</w:t>
      </w:r>
    </w:p>
    <w:p>
      <w:pPr>
        <w:spacing w:after="0" w:line="2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Michael A. Levitt</w:t>
      </w:r>
    </w:p>
    <w:p>
      <w:pPr>
        <w:spacing w:after="0" w:line="15"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Freshfields Bruckhaus Deringer US LLP</w:t>
      </w:r>
    </w:p>
    <w:p>
      <w:pPr>
        <w:spacing w:after="0" w:line="1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601 Lexington Avenue</w:t>
      </w:r>
    </w:p>
    <w:p>
      <w:pPr>
        <w:spacing w:after="0" w:line="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New York, New York 10022</w:t>
      </w:r>
    </w:p>
    <w:p>
      <w:pPr>
        <w:spacing w:after="0" w:line="1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Telephone: (212) 277-4000</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From time to time after the effective date of this registration statement.</w:t>
      </w:r>
    </w:p>
    <w:p>
      <w:pPr>
        <w:spacing w:after="0" w:line="10"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4" w:lineRule="exact"/>
        <w:rPr>
          <w:sz w:val="24"/>
          <w:szCs w:val="24"/>
          <w:color w:val="auto"/>
        </w:rPr>
      </w:pPr>
    </w:p>
    <w:p>
      <w:pPr>
        <w:ind w:right="20"/>
        <w:spacing w:after="0" w:line="149"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right="260"/>
        <w:spacing w:after="0" w:line="156"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right="460"/>
        <w:spacing w:after="0" w:line="14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56"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ind w:right="380"/>
        <w:spacing w:after="0" w:line="14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right="140"/>
        <w:spacing w:after="0" w:line="23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1540" w:type="dxa"/>
        <w:tblCellMar>
          <w:top w:w="0" w:type="dxa"/>
          <w:left w:w="0" w:type="dxa"/>
          <w:bottom w:w="0" w:type="dxa"/>
          <w:right w:w="0" w:type="dxa"/>
        </w:tblCellMar>
      </w:tblPr>
      <w:tr>
        <w:trPr>
          <w:trHeight w:val="166"/>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900" w:type="dxa"/>
            <w:vAlign w:val="bottom"/>
          </w:tcPr>
          <w:p>
            <w:pPr>
              <w:ind w:left="640"/>
              <w:spacing w:after="0"/>
              <w:rPr>
                <w:sz w:val="20"/>
                <w:szCs w:val="20"/>
                <w:color w:val="auto"/>
              </w:rPr>
            </w:pPr>
            <w:r>
              <w:rPr>
                <w:rFonts w:ascii="Wingdings" w:cs="Wingdings" w:eastAsia="Wingdings" w:hAnsi="Wingdings"/>
                <w:sz w:val="13"/>
                <w:szCs w:val="13"/>
                <w:b w:val="1"/>
                <w:bCs w:val="1"/>
                <w:color w:val="auto"/>
              </w:rPr>
              <w:t>o</w:t>
            </w:r>
          </w:p>
        </w:tc>
        <w:tc>
          <w:tcPr>
            <w:tcW w:w="306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Accelerated filer</w:t>
            </w:r>
          </w:p>
        </w:tc>
        <w:tc>
          <w:tcPr>
            <w:tcW w:w="660" w:type="dxa"/>
            <w:vAlign w:val="bottom"/>
          </w:tcPr>
          <w:p>
            <w:pPr>
              <w:ind w:left="520"/>
              <w:spacing w:after="0"/>
              <w:rPr>
                <w:sz w:val="20"/>
                <w:szCs w:val="20"/>
                <w:color w:val="auto"/>
              </w:rPr>
            </w:pPr>
            <w:r>
              <w:rPr>
                <w:rFonts w:ascii="Wingdings" w:cs="Wingdings" w:eastAsia="Wingdings" w:hAnsi="Wingdings"/>
                <w:sz w:val="13"/>
                <w:szCs w:val="13"/>
                <w:b w:val="1"/>
                <w:bCs w:val="1"/>
                <w:color w:val="auto"/>
                <w:w w:val="86"/>
              </w:rPr>
              <w:t>x</w:t>
            </w:r>
          </w:p>
        </w:tc>
      </w:tr>
      <w:tr>
        <w:trPr>
          <w:trHeight w:val="256"/>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900" w:type="dxa"/>
            <w:vAlign w:val="bottom"/>
          </w:tcPr>
          <w:p>
            <w:pPr>
              <w:ind w:left="640"/>
              <w:spacing w:after="0"/>
              <w:rPr>
                <w:sz w:val="20"/>
                <w:szCs w:val="20"/>
                <w:color w:val="auto"/>
              </w:rPr>
            </w:pPr>
            <w:r>
              <w:rPr>
                <w:rFonts w:ascii="Wingdings" w:cs="Wingdings" w:eastAsia="Wingdings" w:hAnsi="Wingdings"/>
                <w:sz w:val="13"/>
                <w:szCs w:val="13"/>
                <w:b w:val="1"/>
                <w:bCs w:val="1"/>
                <w:color w:val="auto"/>
              </w:rPr>
              <w:t>o</w:t>
            </w:r>
          </w:p>
        </w:tc>
        <w:tc>
          <w:tcPr>
            <w:tcW w:w="306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60" w:type="dxa"/>
            <w:vAlign w:val="bottom"/>
          </w:tcPr>
          <w:p>
            <w:pPr>
              <w:ind w:left="520"/>
              <w:spacing w:after="0"/>
              <w:rPr>
                <w:sz w:val="20"/>
                <w:szCs w:val="20"/>
                <w:color w:val="auto"/>
              </w:rPr>
            </w:pPr>
            <w:r>
              <w:rPr>
                <w:rFonts w:ascii="Wingdings" w:cs="Wingdings" w:eastAsia="Wingdings" w:hAnsi="Wingdings"/>
                <w:sz w:val="13"/>
                <w:szCs w:val="13"/>
                <w:b w:val="1"/>
                <w:bCs w:val="1"/>
                <w:color w:val="auto"/>
                <w:w w:val="86"/>
              </w:rPr>
              <w:t>x</w:t>
            </w:r>
          </w:p>
        </w:tc>
      </w:tr>
      <w:tr>
        <w:trPr>
          <w:trHeight w:val="257"/>
        </w:trPr>
        <w:tc>
          <w:tcPr>
            <w:tcW w:w="17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06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Emerging growth company</w:t>
            </w:r>
          </w:p>
        </w:tc>
        <w:tc>
          <w:tcPr>
            <w:tcW w:w="660" w:type="dxa"/>
            <w:vAlign w:val="bottom"/>
          </w:tcPr>
          <w:p>
            <w:pPr>
              <w:ind w:left="520"/>
              <w:spacing w:after="0"/>
              <w:rPr>
                <w:sz w:val="20"/>
                <w:szCs w:val="20"/>
                <w:color w:val="auto"/>
              </w:rPr>
            </w:pPr>
            <w:r>
              <w:rPr>
                <w:rFonts w:ascii="Wingdings" w:cs="Wingdings" w:eastAsia="Wingdings" w:hAnsi="Wingdings"/>
                <w:sz w:val="13"/>
                <w:szCs w:val="13"/>
                <w:b w:val="1"/>
                <w:bCs w:val="1"/>
                <w:color w:val="auto"/>
                <w:w w:val="86"/>
              </w:rPr>
              <w:t>x</w:t>
            </w:r>
          </w:p>
        </w:tc>
      </w:tr>
    </w:tbl>
    <w:p>
      <w:pPr>
        <w:spacing w:after="0" w:line="266" w:lineRule="exact"/>
        <w:rPr>
          <w:sz w:val="24"/>
          <w:szCs w:val="24"/>
          <w:color w:val="auto"/>
        </w:rPr>
      </w:pPr>
    </w:p>
    <w:p>
      <w:pPr>
        <w:ind w:right="320"/>
        <w:spacing w:after="0" w:line="249"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3"/>
          <w:szCs w:val="13"/>
          <w:b w:val="1"/>
          <w:bCs w:val="1"/>
          <w:color w:val="auto"/>
        </w:rPr>
        <w:t>o</w:t>
      </w:r>
    </w:p>
    <w:p>
      <w:pPr>
        <w:spacing w:after="0" w:line="1" w:lineRule="exact"/>
        <w:rPr>
          <w:sz w:val="24"/>
          <w:szCs w:val="24"/>
          <w:color w:val="auto"/>
        </w:rPr>
      </w:pPr>
    </w:p>
    <w:p>
      <w:pPr>
        <w:jc w:val="both"/>
        <w:ind w:right="40"/>
        <w:spacing w:after="0" w:line="239"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as amended, or until the registration statement shall become effective on such date as the Securities and Exchange Commission (the “SEC”), acting pursuant to said Section 8(a), may determine.</w:t>
      </w:r>
    </w:p>
    <w:p>
      <w:pPr>
        <w:spacing w:after="0" w:line="1" w:lineRule="exact"/>
        <w:rPr>
          <w:sz w:val="24"/>
          <w:szCs w:val="24"/>
          <w:color w:val="auto"/>
        </w:rPr>
      </w:pPr>
    </w:p>
    <w:p>
      <w:pPr>
        <w:ind w:right="100"/>
        <w:spacing w:after="0" w:line="242" w:lineRule="auto"/>
        <w:rPr>
          <w:sz w:val="20"/>
          <w:szCs w:val="20"/>
          <w:color w:val="auto"/>
        </w:rPr>
      </w:pPr>
      <w:r>
        <w:rPr>
          <w:rFonts w:ascii="Times New Roman" w:cs="Times New Roman" w:eastAsia="Times New Roman" w:hAnsi="Times New Roman"/>
          <w:sz w:val="13"/>
          <w:szCs w:val="13"/>
          <w:b w:val="1"/>
          <w:bCs w:val="1"/>
          <w:color w:val="auto"/>
        </w:rPr>
        <w:t>This Post-Effective Amendment No. 3 (this “Post-Effective Amendment No. 3”) to the Registration Statement on Form S-1 (File No. 333-262105) (the “Existing Registration Statement”), as originally declared effective by the SEC on January 24, 2022, and amended by Post- Effective Amendment No. 1 on April 8, 2022 and by Post-Effective Amendment No. 2 on April 19, 2022, (a) is being filed to convert the registration statement on Form S-1 into a registration statement on Form S-3 and (b) contains an updated prospectus relating to the offering and sale of (i) the shares of outstanding Class A common stock and Warrants (as defined herein) covered by the Existing Registration Statement of BuzzFeed, Inc. (“BuzzFeed”) and (ii) the shares of Class A common stock remaining available for issuance under the Existing Registration Statement (including upon conversion of the Notes (as defined herein) and the exercise of the Warrants.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information included in this filing amends the Existing Registration Statement and the prospectus contained therein. No additional securities are being registered under this Post-Effective Amendment No.</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 All applicable registration fees were paid at the time of the original filing of the Existing Registration Statement on January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 w:name="page2"/>
    <w:bookmarkEnd w:id="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Existing Registration Statement of BuzzFeed, to which this Registration Statement is a Post-Effective Amendment No. 3 on Form S-3 (this “Registration Statement”), covered the offer and sale of up to (A) 112,304,633 shares of Class A common stock, par value $0.0001 per share (the “Class A common stock”), consisting of up to (i) 109,094,037 shares of Class A common stock (including shares of Class A common stock issuable upon conversion of shares of Class B common stock, par value $0.0001 per share (the “Class B common stock”) and shares of Class A common stock issuable upon conversion of shares of Class C common stock, par value $0.0001 per share (the “Class C common stock”)), including shares being registered pursuant to that certain Amended and Restated Registration Rights Agreement, dated December 3, 2021 (the “Registration Rights Agreement”), between us and certain of the selling securityholders named in this Registration Statement (the “Selling Securityholders”) granting such holders registration rights with respect to such shares and (ii) 3,210,596 shares of Class A common stock issued or issuable following the exercise or settlement of certain stock options and restricted stock units; (B) 15,637,500 shares of Class A common stock reserved for issuance upon the conversion of the $150.0 million aggregate principal amount of unsecured convertible senior notes due 2026 (the “Notes”); (C) 9,875,833 shares of Class A common stock issuable upon the exercise of the warrants included in the units issued in the initial public offering of 890 5th Avenue Partners, Inc. (the “Public Warrants”), the Private Placement Warrants (as defined herein) and the Working Capital Warrants (as defined herein, and, with the Public Warrants and the Private Placement Warrants, the “Warrants”); and (D) 292,500 Warrants, consisting of (a) 259,167 warrants issued to 200 Park Avenue Partners, LLC (the “Sponsor”), PA 2 Co-Investment LLC and Craig-Hallum Capital Group LLP and certain of its affiliates (collectively, the “Founders”) (the “Private Placement Warrants”) and (b) 33,333 warrants issued to the Sponsor in order to fund working capital deficiencies or finance transaction costs in connection with the Business Combination (as defined below) (the “Working Capital Warrants”).</w:t>
      </w:r>
    </w:p>
    <w:p>
      <w:pPr>
        <w:spacing w:after="0" w:line="14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Post-Effective Amendment No. 3 to the Existing Registration Statement (a) is being filed to convert the registration statement on Form S-1 into a registration statement on Form S-3 and (b) contains an updated prospectus relating to the offering and sale of (i) the shares of outstanding Class A common stock covered by the Existing Registration Statement and (ii) the shares of Class A common stock remaining available for issuance under the Existing Registration Statement (including upon conversion of the Notes and exercise of the Warrants).</w:t>
      </w:r>
    </w:p>
    <w:p>
      <w:pPr>
        <w:spacing w:after="0" w:line="126"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This Registration Statement amends and restates the information contained in the Existing Registration Statement (and all amendments thereto) under the headings contained therein. All filing fees payable in connection with the registration of the shares of Class A common stock covered by this Registration Statement were paid by the Registrant at the time of the initial filing of the Existing Registration Statement. No additional securities are registered hereby.</w:t>
      </w:r>
    </w:p>
    <w:p>
      <w:pPr>
        <w:sectPr>
          <w:pgSz w:w="11900" w:h="16838" w:orient="portrait"/>
          <w:cols w:equalWidth="0" w:num="1">
            <w:col w:w="11240"/>
          </w:cols>
          <w:pgMar w:left="320" w:top="1440" w:right="339" w:bottom="1440" w:gutter="0" w:footer="0" w:header="0"/>
        </w:sectPr>
      </w:pPr>
    </w:p>
    <w:bookmarkStart w:id="2" w:name="page3"/>
    <w:bookmarkEnd w:id="2"/>
    <w:p>
      <w:pPr>
        <w:ind w:right="80"/>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in this preliminary prospectus is not complete and may be changed. The securities may not be sold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F1665F"/>
        </w:rPr>
        <w:t>SUBJECT TO COMPLETION, DATED MARCH 21, 2023</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122555</wp:posOffset>
            </wp:positionV>
            <wp:extent cx="2743200" cy="505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4320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BuzzFeed, Inc.</w:t>
      </w:r>
    </w:p>
    <w:p>
      <w:pPr>
        <w:spacing w:after="0" w:line="49" w:lineRule="exact"/>
        <w:rPr>
          <w:sz w:val="20"/>
          <w:szCs w:val="20"/>
          <w:color w:val="auto"/>
        </w:rPr>
      </w:pPr>
    </w:p>
    <w:p>
      <w:pPr>
        <w:jc w:val="center"/>
        <w:ind w:left="360" w:right="1680"/>
        <w:spacing w:after="0" w:line="254" w:lineRule="auto"/>
        <w:rPr>
          <w:sz w:val="20"/>
          <w:szCs w:val="20"/>
          <w:color w:val="auto"/>
        </w:rPr>
      </w:pPr>
      <w:r>
        <w:rPr>
          <w:rFonts w:ascii="Times New Roman" w:cs="Times New Roman" w:eastAsia="Times New Roman" w:hAnsi="Times New Roman"/>
          <w:sz w:val="32"/>
          <w:szCs w:val="32"/>
          <w:b w:val="1"/>
          <w:bCs w:val="1"/>
          <w:color w:val="auto"/>
        </w:rPr>
        <w:t>94,214,674 Shares of Class A Common Stock 15,637,500 Shares of Class A Common Stock Underlying Convertible Notes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98,332 Warrants to Purchase Shares of Class A Common Stock</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9,875,833 Shares of Class A Common Stock Underlying Warrants</w:t>
      </w:r>
    </w:p>
    <w:p>
      <w:pPr>
        <w:spacing w:after="0" w:line="1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(the “Selling Securityholders”) of (A) up to 94,214,674 shares of Class A common stock, par value $0.0001 per share (the “Class A common stock”), consisting of up to (i) 91,380,080 shares of Class A common stock (including shares of Class A common stock issuable upon conversion of shares of Class B common stock, par value $0.0001 per share (the “Class B common stock”)), including shares being registered pursuant to that certain Amended and Restated Registration Rights Agreement, dated December 3, 2021 (the “Registration Rights Agreement”), between us and certain of the Selling Securityholders granting such holders registration rights with respect to such shares and (ii) 2,834,594 shares of Class A common stock issued or issuable following the exercise or settlement of certain stock options and restricted stock units; (B) 15,637,500 shares of Class A common stock reserved for issuance upon the conversion of the $150.0 million aggregate principal amount of unsecured convertible senior notes due 2026 (the “Notes”); and (C) 9,875,833 shares of Class A common stock issuable upon the exercise of the warrants included in the units issued in the initial public offering of 890 5th Avenue Partners, Inc. (the “Public Warrants”), the Private Placement Warrants (as defined herein) and the Working Capital Warrants (as defined herein, and, with the Public Warrants and the Private Placement Warrants, the “Warrants”); and (D) 98,332 Warrants, consisting of (a) 64,999 warrants issued to 200 Park Avenue Partners, LLC (the “Sponsor”), PA 2 Co-Investment LLC and Craig-Hallum Capital Group LLP and certain of its affiliates (collectively, the “Founders”) (the “Private Placement Warrants”) and (b) 33,333 warrants issued to the Sponsor in order to fund working capital deficiencies or finance transaction costs in connection with the Business Combination (as defined below) (the “Working Capital Warrants”).</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December 3, 2021 (the “Closing Date”), we consummated the business combinations in connection with (i) that certain Agreement and Plan of Merger, dated June 24, 2021 (as amended, the “Merger Agreement”), by and among 890 5th Avenue Partners, Inc., a Delaware corporation (“890”), Bolt Merger Sub I, Inc., a Delaware corporation and a direct, wholly-owned subsidiary of 890 (“Merger Sub I”), Bolt Merger Sub II, Inc., a Delaware corporation and a direct, wholly-owned subsidiary of 890 (“Merger Sub II”), and BuzzFeed, Inc., a Delaware corporation (“Legacy BuzzFeed”), pursuant to which (a) Merger Sub I merged with and into Legacy BuzzFeed (the “First Merger”), with Legacy BuzzFeed surviving the First Merger as a wholly-owned subsidiary of 890 and (b) immediately following the First Merger, Legacy BuzzFeed merged with and into Merger Sub II (the “Second Merger” and, together with the First Merger, the “Two-Step Merger”), with Merger Sub II surviving the Second Merger as a wholly-owned subsidiary of 890; and (ii) the Membership Interest Purchase Agreement, dated as of March 27, 2021 (as amended, the “C Acquisition Purchase Agreement”), by and among BuzzFeed, CM Partners, LLC, Complex Media, Inc., Verizon CMP Holdings LLC and HDS II, Inc., pursuant to which the surviving entity of the Two-Step Merger acquired 100% of the membership interests of CM Partners, LLC. CM Partners, LLC, together with Complex Media, Inc., is referred to herein as “Complex Networks.” The Two-Step Merger and the other transactions contemplated by the Merger Agreement, including the acquisition by the surviving entity of Complex Networks, are hereinafter referred to as the “Business Combination.” In connection with the consummation of the Business Combination, 890 was renamed “BuzzFeed, Inc.” (hereinafter referred to as “BuzzFeed” or the “Company”).</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Selling Securityholders may offer, sell or distribute all or a portion of the Class A common stock and Warrants hereby registered publicly or through private transactions at prevailing market prices or at negotiated prices. We will not receive any of the proceeds from such sales of the shares of our Class A common stock or Warrants, except with respect to amounts received by us upon the exercise of Warrants for cash. We will bear all costs, expenses and fees in connection with the registration of these securities,</w:t>
      </w:r>
    </w:p>
    <w:p>
      <w:pPr>
        <w:sectPr>
          <w:pgSz w:w="11900" w:h="16838" w:orient="portrait"/>
          <w:cols w:equalWidth="0" w:num="1">
            <w:col w:w="11220"/>
          </w:cols>
          <w:pgMar w:left="320" w:top="927" w:right="359" w:bottom="1440" w:gutter="0" w:footer="0" w:header="0"/>
        </w:sectPr>
      </w:pPr>
    </w:p>
    <w:bookmarkStart w:id="3" w:name="page4"/>
    <w:bookmarkEnd w:id="3"/>
    <w:p>
      <w:pPr>
        <w:ind w:right="200"/>
        <w:spacing w:after="0" w:line="282" w:lineRule="auto"/>
        <w:rPr>
          <w:sz w:val="20"/>
          <w:szCs w:val="20"/>
          <w:color w:val="auto"/>
        </w:rPr>
      </w:pPr>
      <w:r>
        <w:rPr>
          <w:rFonts w:ascii="Times New Roman" w:cs="Times New Roman" w:eastAsia="Times New Roman" w:hAnsi="Times New Roman"/>
          <w:sz w:val="18"/>
          <w:szCs w:val="18"/>
          <w:color w:val="auto"/>
        </w:rPr>
        <w:t>including with regard to compliance with state securities or “blue sky” laws. The Selling Securityholders will bear all commissions and discounts, if any, attributable to their sale of shares of our Class A common stock. See “Plan of Distribution” beginning on page 32 of this prospectus.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Class A common stock and Warrants are listed on the Nasdaq Capital Market (“Nasdaq”) under the symbols “BZFD” and “BZFDW,” respectively. On March 20, 2023, the last reported sales price of our Class A common stock and the Warrants was $1.05 per share and $0.095 per Warrant, respectively.</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founder, Chief Executive Officer and Chairman of our board of directors, Jonah Peretti, and his affiliates, after giving effect to the Holder Voting Agreement (as defined herein), held approximately 71% of the voting power of our outstanding common stock as of February 28, 2023. Accordingly, Mr. Peretti will be able to exert substantial influence over matters submitted to our stockholders for approval. Additionally, we are a “</w:t>
      </w:r>
      <w:r>
        <w:rPr>
          <w:rFonts w:ascii="Times New Roman" w:cs="Times New Roman" w:eastAsia="Times New Roman" w:hAnsi="Times New Roman"/>
          <w:sz w:val="18"/>
          <w:szCs w:val="18"/>
          <w:i w:val="1"/>
          <w:iCs w:val="1"/>
          <w:color w:val="auto"/>
        </w:rPr>
        <w:t>controlled company</w:t>
      </w:r>
      <w:r>
        <w:rPr>
          <w:rFonts w:ascii="Times New Roman" w:cs="Times New Roman" w:eastAsia="Times New Roman" w:hAnsi="Times New Roman"/>
          <w:sz w:val="18"/>
          <w:szCs w:val="18"/>
          <w:color w:val="auto"/>
        </w:rPr>
        <w:t>” within the meaning of the Nasdaq corporate governance requirements.</w:t>
      </w:r>
    </w:p>
    <w:p>
      <w:pPr>
        <w:spacing w:after="0" w:line="12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shares being offered for resale by the Selling Securityholders (not including the shares underlying the Notes or the Warrants) represent approximately 67% of our current issued and outstanding common stock. Sales of a substantial number of shares in the public markets, or the perception in the market that the holders of a large number of shares intend to sell the shares, may adversely affect the market price of our Class A common stock.</w:t>
      </w:r>
    </w:p>
    <w:p>
      <w:pPr>
        <w:spacing w:after="0" w:line="122"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the section entitled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i w:val="1"/>
          <w:iCs w:val="1"/>
          <w:u w:val="single" w:color="auto"/>
          <w:color w:val="0000FF"/>
        </w:rPr>
        <w:t>Risk Factors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14</w:t>
      </w:r>
      <w:r>
        <w:rPr>
          <w:rFonts w:ascii="Times New Roman" w:cs="Times New Roman" w:eastAsia="Times New Roman" w:hAnsi="Times New Roman"/>
          <w:sz w:val="18"/>
          <w:szCs w:val="18"/>
          <w:b w:val="1"/>
          <w:bCs w:val="1"/>
          <w:color w:val="auto"/>
        </w:rPr>
        <w:t xml:space="preserve"> of this prospectus to read about factors you should consider before buying our securities.</w:t>
      </w:r>
    </w:p>
    <w:p>
      <w:pPr>
        <w:spacing w:after="0" w:line="92"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1" w:lineRule="exact"/>
        <w:rPr>
          <w:sz w:val="20"/>
          <w:szCs w:val="20"/>
          <w:color w:val="auto"/>
        </w:rPr>
      </w:pPr>
    </w:p>
    <w:tbl>
      <w:tblPr>
        <w:tblLayout w:type="fixed"/>
        <w:tblInd w:w="390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2023</w:t>
            </w:r>
          </w:p>
        </w:tc>
      </w:tr>
    </w:tbl>
    <w:p>
      <w:pPr>
        <w:sectPr>
          <w:pgSz w:w="11900" w:h="16838" w:orient="portrait"/>
          <w:cols w:equalWidth="0" w:num="1">
            <w:col w:w="11220"/>
          </w:cols>
          <w:pgMar w:left="320" w:top="931" w:right="359" w:bottom="1440" w:gutter="0" w:footer="0" w:header="0"/>
        </w:sectPr>
      </w:pPr>
    </w:p>
    <w:bookmarkStart w:id="4" w:name="page5"/>
    <w:bookmarkEnd w:id="4"/>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6820" w:type="dxa"/>
            <w:vAlign w:val="bottom"/>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189"/>
        </w:trPr>
        <w:tc>
          <w:tcPr>
            <w:tcW w:w="4420" w:type="dxa"/>
            <w:vAlign w:val="bottom"/>
          </w:tcPr>
          <w:p>
            <w:pPr>
              <w:spacing w:after="0"/>
              <w:rPr>
                <w:sz w:val="16"/>
                <w:szCs w:val="16"/>
                <w:color w:val="auto"/>
              </w:rPr>
            </w:pPr>
          </w:p>
        </w:tc>
        <w:tc>
          <w:tcPr>
            <w:tcW w:w="6820" w:type="dxa"/>
            <w:vAlign w:val="bottom"/>
          </w:tcPr>
          <w:p>
            <w:pPr>
              <w:spacing w:after="0"/>
              <w:rPr>
                <w:sz w:val="16"/>
                <w:szCs w:val="16"/>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About This Prospectus</w:t>
            </w:r>
          </w:p>
        </w:tc>
        <w:tc>
          <w:tcPr>
            <w:tcW w:w="6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Selected Definitions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6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Incorporation by Reference</w:t>
            </w:r>
          </w:p>
        </w:tc>
        <w:tc>
          <w:tcPr>
            <w:tcW w:w="6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Prospectus Summary</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Offering</w:t>
            </w:r>
          </w:p>
        </w:tc>
        <w:tc>
          <w:tcPr>
            <w:tcW w:w="6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 of Proceeds</w:t>
            </w:r>
          </w:p>
        </w:tc>
        <w:tc>
          <w:tcPr>
            <w:tcW w:w="6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Securityholders</w:t>
            </w:r>
          </w:p>
        </w:tc>
        <w:tc>
          <w:tcPr>
            <w:tcW w:w="6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of Distribution</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Matters</w:t>
            </w:r>
          </w:p>
        </w:tc>
        <w:tc>
          <w:tcPr>
            <w:tcW w:w="6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Experts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40" w:right="339" w:bottom="1440" w:gutter="0" w:footer="0" w:header="0"/>
        </w:sectPr>
      </w:pPr>
    </w:p>
    <w:bookmarkStart w:id="5" w:name="page6"/>
    <w:bookmarkEnd w:id="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the “shelf” registration process. Under this shelf registration process, the Selling Securityholders may, from time to time, sell or otherwise distribute the securities offered by them as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We will not receive any proceeds from the sale by such Selling Securityholders of the securities offered by them described in this prospectus. This prospectus also relates to the issuance by us of the shares of our Class A common stock issuable upon the exercise of any of the Warrants. We will receive proceeds from any exercise of the Warrants for cash.</w:t>
      </w:r>
    </w:p>
    <w:p>
      <w:pPr>
        <w:spacing w:after="0" w:line="1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or incorporated by reference, in this prospectus, any post-effective amendment, or any applicable prospectus supplement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update or change information contained in or incorporated by reference into,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This prospectus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in the section of this prospectus entitled “</w:t>
      </w:r>
      <w:r>
        <w:rPr>
          <w:rFonts w:ascii="Times New Roman" w:cs="Times New Roman" w:eastAsia="Times New Roman" w:hAnsi="Times New Roman"/>
          <w:sz w:val="18"/>
          <w:szCs w:val="18"/>
          <w:i w:val="1"/>
          <w:iCs w:val="1"/>
          <w:color w:val="auto"/>
        </w:rPr>
        <w:t>Incorporation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spacing w:after="0" w:line="1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reference to: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refer to BuzzFeed following the Closing and to Legacy BuzzFeed prior to the Closing.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890</w:t>
      </w:r>
      <w:r>
        <w:rPr>
          <w:rFonts w:ascii="Times New Roman" w:cs="Times New Roman" w:eastAsia="Times New Roman" w:hAnsi="Times New Roman"/>
          <w:sz w:val="18"/>
          <w:szCs w:val="18"/>
          <w:color w:val="auto"/>
        </w:rPr>
        <w:t>” means 890 5th Avenue Partners, Inc., a Delaware corporation, prior to the Closing.</w:t>
      </w:r>
    </w:p>
    <w:p>
      <w:pPr>
        <w:spacing w:after="0" w:line="171"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890’s IPO</w:t>
      </w:r>
      <w:r>
        <w:rPr>
          <w:rFonts w:ascii="Times New Roman" w:cs="Times New Roman" w:eastAsia="Times New Roman" w:hAnsi="Times New Roman"/>
          <w:sz w:val="18"/>
          <w:szCs w:val="18"/>
          <w:color w:val="auto"/>
        </w:rPr>
        <w:t>” means 890’s initial public offering, consummated on January 11, 2021 and closed on January 14, 2021, through the sale of 28,750,000 units at $10.00 per unit.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890 Class A common stock</w:t>
      </w:r>
      <w:r>
        <w:rPr>
          <w:rFonts w:ascii="Times New Roman" w:cs="Times New Roman" w:eastAsia="Times New Roman" w:hAnsi="Times New Roman"/>
          <w:sz w:val="18"/>
          <w:szCs w:val="18"/>
          <w:color w:val="auto"/>
        </w:rPr>
        <w:t>” means the shares of Class A common stock, par value $0.0001 per share, of 890.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890 Class F common stock</w:t>
      </w:r>
      <w:r>
        <w:rPr>
          <w:rFonts w:ascii="Times New Roman" w:cs="Times New Roman" w:eastAsia="Times New Roman" w:hAnsi="Times New Roman"/>
          <w:sz w:val="18"/>
          <w:szCs w:val="18"/>
          <w:color w:val="auto"/>
        </w:rPr>
        <w:t>” means the shares of Class F common stock, par value $0.0001 per share, of 890.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BuzzFeed.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means the restated bylaws of BuzzFeed.</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means the transactions contemplated by the Merger Agreement, including: (A) the merger of Merger Sub I with and into Legacy BuzzFeed, pursuant to which (a) Legacy BuzzFeed survived the merger as a wholly-owned subsidiary of BuzzFeed and (b) the Legacy BuzzFeed stockholders exchanged their Legacy BuzzFeed capital stock for equity interests in BuzzFeed and (c) the Legacy BuzzFeed options, the Legacy BuzzFeed restricted stock awards and the Legacy BuzzFeed restricted stock units were assumed by BuzzFeed and converted into BuzzFeed options, BuzzFeed restricted stock awards, and restricted stock units representing the opportunity to be issued shares of our Class A common stock in accordance with the terms of the Merger Agreement; and (B) the merger of Legacy BuzzFeed with and into Merger Sub II with Merger Sub II surviving the merger as a wholly owned subsidiary of BuzzFeed; (C) the acquisition of Complex Networks by BuzzFeed pursuant to the terms of the definitive purchase agreement, dated as of March 27, 2021, as amended by Amendment No. 1, dated as of June 24, 2021, by and among CM Partners, LLC, Complex Media, Legacy BuzzFeed and certain other parties thereto; and (D) the other transactions set forth in the Merger Agreement.</w:t>
      </w:r>
    </w:p>
    <w:p>
      <w:pPr>
        <w:spacing w:after="0" w:line="13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BuzzFeed</w:t>
      </w:r>
      <w:r>
        <w:rPr>
          <w:rFonts w:ascii="Times New Roman" w:cs="Times New Roman" w:eastAsia="Times New Roman" w:hAnsi="Times New Roman"/>
          <w:sz w:val="18"/>
          <w:szCs w:val="18"/>
          <w:color w:val="auto"/>
        </w:rPr>
        <w:t>” means BuzzFeed, Inc., a Delaware corporation (f/k/a 890 5th Avenue Partners, Inc., a Delaware corporation), and its consolidated subsidiaries following the Closing.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 Acquisition</w:t>
      </w:r>
      <w:r>
        <w:rPr>
          <w:rFonts w:ascii="Times New Roman" w:cs="Times New Roman" w:eastAsia="Times New Roman" w:hAnsi="Times New Roman"/>
          <w:sz w:val="18"/>
          <w:szCs w:val="18"/>
          <w:color w:val="auto"/>
        </w:rPr>
        <w:t>” means the acquisition of Complex Networks by BuzzFeed pursuant to the terms of the C Acquisition Purchase Agreement.</w:t>
      </w:r>
    </w:p>
    <w:p>
      <w:pPr>
        <w:spacing w:after="0" w:line="17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 Acquisition Purchase Agreement</w:t>
      </w:r>
      <w:r>
        <w:rPr>
          <w:rFonts w:ascii="Times New Roman" w:cs="Times New Roman" w:eastAsia="Times New Roman" w:hAnsi="Times New Roman"/>
          <w:sz w:val="18"/>
          <w:szCs w:val="18"/>
          <w:color w:val="auto"/>
        </w:rPr>
        <w:t>” means the Membership Interest Purchase Agreement, dated as of March 27, 2021, as amended on June 24, 2021, by and among CM Partners, Complex Media, Legacy BuzzFeed and certain other parties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means the shares of Class A common stock, Class B common stock and Class C common stock of BuzzFeed.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Certificate of Incorporation</w:t>
      </w:r>
      <w:r>
        <w:rPr>
          <w:rFonts w:ascii="Times New Roman" w:cs="Times New Roman" w:eastAsia="Times New Roman" w:hAnsi="Times New Roman"/>
          <w:sz w:val="18"/>
          <w:szCs w:val="18"/>
          <w:color w:val="auto"/>
        </w:rPr>
        <w:t>” means the second amended and restated certificate of incorporation of BuzzFeed.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means the shares of Class A common stock, par value $0.0001 per share, of BuzzFeed.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common stock</w:t>
      </w:r>
      <w:r>
        <w:rPr>
          <w:rFonts w:ascii="Times New Roman" w:cs="Times New Roman" w:eastAsia="Times New Roman" w:hAnsi="Times New Roman"/>
          <w:sz w:val="18"/>
          <w:szCs w:val="18"/>
          <w:color w:val="auto"/>
        </w:rPr>
        <w:t>” means the shares of Class B common stock, par value $0.0001 per share, of BuzzFeed.</w:t>
      </w:r>
    </w:p>
    <w:p>
      <w:pPr>
        <w:spacing w:after="0" w:line="171"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common stock</w:t>
      </w:r>
      <w:r>
        <w:rPr>
          <w:rFonts w:ascii="Times New Roman" w:cs="Times New Roman" w:eastAsia="Times New Roman" w:hAnsi="Times New Roman"/>
          <w:sz w:val="18"/>
          <w:szCs w:val="18"/>
          <w:color w:val="auto"/>
        </w:rPr>
        <w:t>” means the shares of Class C common stock, par value $0.0001 per share, of BuzzFeed. On March 15, 2023, all of the Class C common stock was converted into Class A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December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440" w:right="379" w:bottom="1440" w:gutter="0" w:footer="0" w:header="0"/>
        </w:sectPr>
      </w:pPr>
    </w:p>
    <w:bookmarkStart w:id="7" w:name="page8"/>
    <w:bookmarkEnd w:id="7"/>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CM Partners</w:t>
      </w:r>
      <w:r>
        <w:rPr>
          <w:rFonts w:ascii="Times New Roman" w:cs="Times New Roman" w:eastAsia="Times New Roman" w:hAnsi="Times New Roman"/>
          <w:sz w:val="18"/>
          <w:szCs w:val="18"/>
          <w:color w:val="auto"/>
        </w:rPr>
        <w:t>” means CM Partners, LLC, a Delaware limited liability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Complex Media</w:t>
      </w:r>
      <w:r>
        <w:rPr>
          <w:rFonts w:ascii="Times New Roman" w:cs="Times New Roman" w:eastAsia="Times New Roman" w:hAnsi="Times New Roman"/>
          <w:sz w:val="18"/>
          <w:szCs w:val="18"/>
          <w:color w:val="auto"/>
        </w:rPr>
        <w:t>” means Complex Media, Inc., a Delaware corporation.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Complex Networks</w:t>
      </w:r>
      <w:r>
        <w:rPr>
          <w:rFonts w:ascii="Times New Roman" w:cs="Times New Roman" w:eastAsia="Times New Roman" w:hAnsi="Times New Roman"/>
          <w:sz w:val="18"/>
          <w:szCs w:val="18"/>
          <w:color w:val="auto"/>
        </w:rPr>
        <w:t>” means, collectively, CM Partners and its direct, wholly-owned subsidiary, Complex Media.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Cowen</w:t>
      </w:r>
      <w:r>
        <w:rPr>
          <w:rFonts w:ascii="Times New Roman" w:cs="Times New Roman" w:eastAsia="Times New Roman" w:hAnsi="Times New Roman"/>
          <w:sz w:val="18"/>
          <w:szCs w:val="18"/>
          <w:color w:val="auto"/>
        </w:rPr>
        <w:t>” means Cowen and Company,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Craig-Hallum</w:t>
      </w:r>
      <w:r>
        <w:rPr>
          <w:rFonts w:ascii="Times New Roman" w:cs="Times New Roman" w:eastAsia="Times New Roman" w:hAnsi="Times New Roman"/>
          <w:sz w:val="18"/>
          <w:szCs w:val="18"/>
          <w:color w:val="auto"/>
        </w:rPr>
        <w:t>” means Craig-Hallum Capital Group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Escrow Agreement</w:t>
      </w:r>
      <w:r>
        <w:rPr>
          <w:rFonts w:ascii="Times New Roman" w:cs="Times New Roman" w:eastAsia="Times New Roman" w:hAnsi="Times New Roman"/>
          <w:sz w:val="18"/>
          <w:szCs w:val="18"/>
          <w:color w:val="auto"/>
        </w:rPr>
        <w:t>” means the Amended and Restated Escrow Agreement, dated as of December 3, 2021, that was entered into in connection with the closing of the Business Combination among Mr. Peretti and Jonah Peretti LLC, as the escrow obligors, NBCU, as the beneficiary, and PNC, as the escrow agent, pursuant to which, among other things, the escrow of 1,200,000 shares of our Class A common stock or our Class B common stock exchangeable by Jonah Peretti, LLC.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Merger</w:t>
      </w:r>
      <w:r>
        <w:rPr>
          <w:rFonts w:ascii="Times New Roman" w:cs="Times New Roman" w:eastAsia="Times New Roman" w:hAnsi="Times New Roman"/>
          <w:sz w:val="18"/>
          <w:szCs w:val="18"/>
          <w:color w:val="auto"/>
        </w:rPr>
        <w:t>” means the merger of Merger Sub I with and into Legacy BuzzFeed, with Legacy BuzzFeed being the surviving corporation of the merger.</w:t>
      </w:r>
    </w:p>
    <w:p>
      <w:pPr>
        <w:spacing w:after="0" w:line="171"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Founders</w:t>
      </w:r>
      <w:r>
        <w:rPr>
          <w:rFonts w:ascii="Times New Roman" w:cs="Times New Roman" w:eastAsia="Times New Roman" w:hAnsi="Times New Roman"/>
          <w:sz w:val="18"/>
          <w:szCs w:val="18"/>
          <w:color w:val="auto"/>
        </w:rPr>
        <w:t>” means the Sponsor, PA 2 Co-Investment (an affiliate of Cowen) and Craig-Hallum (in its capacity as a purchaser of Private Placement Units and Founder Shares) and certain of its affiliates purchasing Private Placement Units and Founder Shares.</w:t>
      </w:r>
    </w:p>
    <w:p>
      <w:pPr>
        <w:spacing w:after="0" w:line="10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 Shares</w:t>
      </w:r>
      <w:r>
        <w:rPr>
          <w:rFonts w:ascii="Times New Roman" w:cs="Times New Roman" w:eastAsia="Times New Roman" w:hAnsi="Times New Roman"/>
          <w:sz w:val="18"/>
          <w:szCs w:val="18"/>
          <w:color w:val="auto"/>
        </w:rPr>
        <w:t>” means the 7,187,500 shares of 890 Class F common stock issued to the Sponsor in a private placement prior to 890’s IPO, which were converted into an aggregate of 7,187,500 shares of Class A common stock pursuant to the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accounting principles generally accepted in the United States of America.</w:t>
      </w:r>
    </w:p>
    <w:p>
      <w:pPr>
        <w:spacing w:after="0" w:line="17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 Voting Agreement</w:t>
      </w:r>
      <w:r>
        <w:rPr>
          <w:rFonts w:ascii="Times New Roman" w:cs="Times New Roman" w:eastAsia="Times New Roman" w:hAnsi="Times New Roman"/>
          <w:sz w:val="18"/>
          <w:szCs w:val="18"/>
          <w:color w:val="auto"/>
        </w:rPr>
        <w:t>” means the Holder Voting Agreement, dated July 21, 2021, by and among BuzzFeed, John Johnson III, Johnson BF, and Jonah Peretti, pursuant to which Mr. Johnson and Johnson BF agreed to grant to Mr. Peretti an irrevocable proxy to vote or consent as to all of Mr. Johnson’s and Johnson BF’s shares (including any shares Mr. Johnson or Johnson BF acquire following the date of the agreement), in Mr. Peretti’s sole discretion, on all matters submitted to a vote of BuzzFeed’s stockholders or through the solicitation of a written consent of stockholders.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Stockholders</w:t>
      </w:r>
      <w:r>
        <w:rPr>
          <w:rFonts w:ascii="Times New Roman" w:cs="Times New Roman" w:eastAsia="Times New Roman" w:hAnsi="Times New Roman"/>
          <w:sz w:val="18"/>
          <w:szCs w:val="18"/>
          <w:color w:val="auto"/>
        </w:rPr>
        <w:t>” means the Founders and 890’s independent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Johnson BF</w:t>
      </w:r>
      <w:r>
        <w:rPr>
          <w:rFonts w:ascii="Times New Roman" w:cs="Times New Roman" w:eastAsia="Times New Roman" w:hAnsi="Times New Roman"/>
          <w:sz w:val="18"/>
          <w:szCs w:val="18"/>
          <w:color w:val="auto"/>
        </w:rPr>
        <w:t>” means Johnson BF,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BuzzFeed</w:t>
      </w:r>
      <w:r>
        <w:rPr>
          <w:rFonts w:ascii="Times New Roman" w:cs="Times New Roman" w:eastAsia="Times New Roman" w:hAnsi="Times New Roman"/>
          <w:sz w:val="18"/>
          <w:szCs w:val="18"/>
          <w:color w:val="auto"/>
        </w:rPr>
        <w:t>” means BuzzFeed, Inc., a Delaware corporation, prior to the Closing.</w:t>
      </w:r>
    </w:p>
    <w:p>
      <w:pPr>
        <w:spacing w:after="0" w:line="171"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means the Agreement and Plan of Merger, dated June 24, 2021, as amended on October 28, 2021, by and among 890, Merger Sub I, Merger Sub II and Legacy BuzzFeed, pursuant to which the Business Combination was consummated.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 I</w:t>
      </w:r>
      <w:r>
        <w:rPr>
          <w:rFonts w:ascii="Times New Roman" w:cs="Times New Roman" w:eastAsia="Times New Roman" w:hAnsi="Times New Roman"/>
          <w:sz w:val="18"/>
          <w:szCs w:val="18"/>
          <w:color w:val="auto"/>
        </w:rPr>
        <w:t>” means Bolt Merger Sub I, Inc., a Delaware corporation and wholly-owned subsidiary of 890.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 II</w:t>
      </w:r>
      <w:r>
        <w:rPr>
          <w:rFonts w:ascii="Times New Roman" w:cs="Times New Roman" w:eastAsia="Times New Roman" w:hAnsi="Times New Roman"/>
          <w:sz w:val="18"/>
          <w:szCs w:val="18"/>
          <w:color w:val="auto"/>
        </w:rPr>
        <w:t>” means Bolt Merger Sub II, Inc., a Delaware corporation and wholly-owned subsidiary of 890.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NBCU</w:t>
      </w:r>
      <w:r>
        <w:rPr>
          <w:rFonts w:ascii="Times New Roman" w:cs="Times New Roman" w:eastAsia="Times New Roman" w:hAnsi="Times New Roman"/>
          <w:sz w:val="18"/>
          <w:szCs w:val="18"/>
          <w:color w:val="auto"/>
        </w:rPr>
        <w:t>” means NBCUniversal Media,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440" w:right="379" w:bottom="1440" w:gutter="0" w:footer="0" w:header="0"/>
        </w:sectPr>
      </w:pPr>
    </w:p>
    <w:bookmarkStart w:id="8" w:name="page9"/>
    <w:bookmarkEnd w:id="8"/>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Investors</w:t>
      </w:r>
      <w:r>
        <w:rPr>
          <w:rFonts w:ascii="Times New Roman" w:cs="Times New Roman" w:eastAsia="Times New Roman" w:hAnsi="Times New Roman"/>
          <w:sz w:val="18"/>
          <w:szCs w:val="18"/>
          <w:color w:val="auto"/>
        </w:rPr>
        <w:t>” means certain investors who are party to the Note Subscription Agreement.</w:t>
      </w:r>
    </w:p>
    <w:p>
      <w:pPr>
        <w:spacing w:after="0" w:line="171"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Note Registration Rights Agreement</w:t>
      </w:r>
      <w:r>
        <w:rPr>
          <w:rFonts w:ascii="Times New Roman" w:cs="Times New Roman" w:eastAsia="Times New Roman" w:hAnsi="Times New Roman"/>
          <w:sz w:val="17"/>
          <w:szCs w:val="17"/>
          <w:color w:val="auto"/>
        </w:rPr>
        <w:t>” means the Registration Rights Agreement, dated as of December 3, 2021, that was entered into in connection with the closing of the Business Combination by and among BuzzFeed and the investors party thereto, pursuant to which the investors party thereto were granted certain customary registration rights with respect to the underlying shares of our Class A common stock issuable upon conversion of the Notes.</w:t>
      </w:r>
    </w:p>
    <w:p>
      <w:pPr>
        <w:spacing w:after="0" w:line="1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Subscription Agreement</w:t>
      </w:r>
      <w:r>
        <w:rPr>
          <w:rFonts w:ascii="Times New Roman" w:cs="Times New Roman" w:eastAsia="Times New Roman" w:hAnsi="Times New Roman"/>
          <w:sz w:val="18"/>
          <w:szCs w:val="18"/>
          <w:color w:val="auto"/>
        </w:rPr>
        <w:t>” means the Convertible Note Subscription Agreement, dated as of June 24, 2021, by and among 890 with the investors party thereto, pursuant to which 890 agreed to issue and sell in connection with the Business Combination, in private placements that closed immediately prior to the Closing, $150.0 million aggregate principal amount of unsecured convertible notes due to mature in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means BuzzFeed’s $150.0 million aggregate principal amount of unsecured convertible notes due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PNC</w:t>
      </w:r>
      <w:r>
        <w:rPr>
          <w:rFonts w:ascii="Times New Roman" w:cs="Times New Roman" w:eastAsia="Times New Roman" w:hAnsi="Times New Roman"/>
          <w:sz w:val="18"/>
          <w:szCs w:val="18"/>
          <w:color w:val="auto"/>
        </w:rPr>
        <w:t>” means PNC Bank, National Association.</w:t>
      </w:r>
    </w:p>
    <w:p>
      <w:pPr>
        <w:spacing w:after="0" w:line="171"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Shares</w:t>
      </w:r>
      <w:r>
        <w:rPr>
          <w:rFonts w:ascii="Times New Roman" w:cs="Times New Roman" w:eastAsia="Times New Roman" w:hAnsi="Times New Roman"/>
          <w:sz w:val="18"/>
          <w:szCs w:val="18"/>
          <w:color w:val="auto"/>
        </w:rPr>
        <w:t>” means the 777,500 shares of Class A common stock issued in relation to the Private Placement Units that were issued to the Founders concurrently with 890’s IPO.</w:t>
      </w:r>
    </w:p>
    <w:p>
      <w:pPr>
        <w:spacing w:after="0" w:line="104"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Units</w:t>
      </w:r>
      <w:r>
        <w:rPr>
          <w:rFonts w:ascii="Times New Roman" w:cs="Times New Roman" w:eastAsia="Times New Roman" w:hAnsi="Times New Roman"/>
          <w:sz w:val="18"/>
          <w:szCs w:val="18"/>
          <w:color w:val="auto"/>
        </w:rPr>
        <w:t>” means the 777,500 units issued to the Founders concurrently with 890’s IPO, each consisting of one share of 890 Class A common stock and one-third of one redeemable warrant.</w:t>
      </w:r>
    </w:p>
    <w:p>
      <w:pPr>
        <w:spacing w:after="0" w:line="10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means the 259,167 warrants issued as part of the Private Placement Units to the Founders concurrently with 890’s IPO, each of which whole warrant is exercisable for one share of Class A common stock.</w:t>
      </w:r>
    </w:p>
    <w:p>
      <w:pPr>
        <w:spacing w:after="0" w:line="104"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means the warrants included in the units issued in 890’s IPO, each of which is exercisable for one share of 890 Class A common stock, in accordance with its terms.</w:t>
      </w:r>
    </w:p>
    <w:p>
      <w:pPr>
        <w:spacing w:after="0" w:line="10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means the Amended and Restated Registration Rights Agreement, dated as of December 3, 2021, that was entered into in connection with the closing of the Business Combination by and among 890, the Sponsor, and certain BuzzFeed stockholders, pursuant to which the investors party thereto were granted certain customary registration rights with respect to shares of our Class A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171"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Merger</w:t>
      </w:r>
      <w:r>
        <w:rPr>
          <w:rFonts w:ascii="Times New Roman" w:cs="Times New Roman" w:eastAsia="Times New Roman" w:hAnsi="Times New Roman"/>
          <w:sz w:val="18"/>
          <w:szCs w:val="18"/>
          <w:color w:val="auto"/>
        </w:rPr>
        <w:t>” means, immediately after the First Merger, the merger of the surviving entity of the First Merger with and into Merger Sub II, with Merger Sub II being the surviving company of the merger.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 means the selling securityholders named in this prospectus.</w:t>
      </w:r>
    </w:p>
    <w:p>
      <w:pPr>
        <w:spacing w:after="0" w:line="171" w:lineRule="exact"/>
        <w:rPr>
          <w:sz w:val="20"/>
          <w:szCs w:val="20"/>
          <w:color w:val="auto"/>
        </w:rPr>
      </w:pPr>
    </w:p>
    <w:p>
      <w:pPr>
        <w:ind w:right="16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Share Purchase Agreement</w:t>
      </w:r>
      <w:r>
        <w:rPr>
          <w:rFonts w:ascii="Times New Roman" w:cs="Times New Roman" w:eastAsia="Times New Roman" w:hAnsi="Times New Roman"/>
          <w:sz w:val="17"/>
          <w:szCs w:val="17"/>
          <w:color w:val="auto"/>
        </w:rPr>
        <w:t>” means the Private Placement Share Purchase Agreement, dated as of December 2, 2021, that was entered into in connection with the closing of the Business Combination and which became effective December 4, 2021, by and among 890 and affiliates of Craig-Hallum.</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w:t>
      </w:r>
      <w:r>
        <w:rPr>
          <w:rFonts w:ascii="Times New Roman" w:cs="Times New Roman" w:eastAsia="Times New Roman" w:hAnsi="Times New Roman"/>
          <w:sz w:val="18"/>
          <w:szCs w:val="18"/>
          <w:color w:val="auto"/>
        </w:rPr>
        <w:t>” means 200 Park Avenue Partners, LLC, a Delaware limited liability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Two-Step Merger</w:t>
      </w:r>
      <w:r>
        <w:rPr>
          <w:rFonts w:ascii="Times New Roman" w:cs="Times New Roman" w:eastAsia="Times New Roman" w:hAnsi="Times New Roman"/>
          <w:sz w:val="18"/>
          <w:szCs w:val="18"/>
          <w:color w:val="auto"/>
        </w:rPr>
        <w:t>” means, collectively, the First Merger and the Second Merger.</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Agreement</w:t>
      </w:r>
      <w:r>
        <w:rPr>
          <w:rFonts w:ascii="Times New Roman" w:cs="Times New Roman" w:eastAsia="Times New Roman" w:hAnsi="Times New Roman"/>
          <w:sz w:val="18"/>
          <w:szCs w:val="18"/>
          <w:color w:val="auto"/>
        </w:rPr>
        <w:t>” means the Voting Agreement, dated as of June 24, 2021, by and among 890, Legacy BuzzFeed, and the Voting Agreement Parties, pursuant to which each of the Voting Agreement Parties agree to vote all shares of 890 common stock held by such Voting Agreement Party in favor of the following three members of the board of directors of 890: (a) one designee of 890; and (b) two director nominees to be designated by the mutual agreement of Jonah Peretti and 890.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40" w:right="359" w:bottom="1440" w:gutter="0" w:footer="0" w:header="0"/>
        </w:sectPr>
      </w:pPr>
    </w:p>
    <w:bookmarkStart w:id="9" w:name="page10"/>
    <w:bookmarkEnd w:id="9"/>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Agreement Parties</w:t>
      </w:r>
      <w:r>
        <w:rPr>
          <w:rFonts w:ascii="Times New Roman" w:cs="Times New Roman" w:eastAsia="Times New Roman" w:hAnsi="Times New Roman"/>
          <w:sz w:val="18"/>
          <w:szCs w:val="18"/>
          <w:color w:val="auto"/>
        </w:rPr>
        <w:t>” means Legacy BuzzFeed’s Chief Executive Officer as of the date of the Merger Agreement and each of his Permitted Transferees (as defined in the Certificate of Incorporation) that held any shares of Legacy BuzzFeed common stock or Legacy BuzzFeed preferred stock issued and outstanding immediately prior to the effective time of the Two-Step Merger, or that hold any shares of Class A common stock, Class B common stock and Class C common stock as of immediately following the Closing.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means the Public Warrants, Private Placements Warrants and Working Capital Warrants.</w:t>
      </w:r>
    </w:p>
    <w:p>
      <w:pPr>
        <w:spacing w:after="0" w:line="171"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Working Capital Warrants</w:t>
      </w:r>
      <w:r>
        <w:rPr>
          <w:rFonts w:ascii="Times New Roman" w:cs="Times New Roman" w:eastAsia="Times New Roman" w:hAnsi="Times New Roman"/>
          <w:sz w:val="18"/>
          <w:szCs w:val="18"/>
          <w:color w:val="auto"/>
        </w:rPr>
        <w:t>” means the 33,333 warrants issued to the Sponsor in connection with a loan made to the Company by the Sponsor in order to fund working capital deficiencies or finance transaction costs in connection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20" w:top="1440" w:right="399" w:bottom="1440" w:gutter="0" w:footer="0" w:header="0"/>
        </w:sectPr>
      </w:pPr>
    </w:p>
    <w:bookmarkStart w:id="10" w:name="page11"/>
    <w:bookmarkEnd w:id="10"/>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Certain statements in this prospectus and the documents incorporated by reference herein may be considered forward-looking statements within the meaning of Section 27A of the Securities Act and Section 21E of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“affect,”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Forward-looking statements include all matters that are not historical facts. Forward-looking statements in this prospectus and the documents incorporated by reference herein may include, for example, statements about:</w:t>
      </w:r>
    </w:p>
    <w:p>
      <w:pPr>
        <w:spacing w:after="0" w:line="134"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products and services and changes in traffic;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and competitive environment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the digital media industry;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national and local economic and other conditions and developments in technology, each of which could influence the levels (rate and volume) of our advertising, the growth of our business and the implementation of our strategic initiatives;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quality broadband infrastructure in certain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 including artificial intelligence;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171"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and financial performance, including expectations with respect to our financial and business performance, including financial projections and business metrics, and any underlying assumptions thereunder, future business plans and initiatives, and growth opportunities;</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but not limited to, our ability to obtain additional capital in the future, any impacts of bank failures or issues in the broader United States (“U.S.”) financial system, any restrictions imposed by our debt facilities, and any restrictions on our ability to access our cash and cash equivalents;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future acquisitions, partnerships or other relationships with third parties;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law and government regulation, including, but not limited to, revised foreign content and ownership regulations;</w:t>
      </w:r>
    </w:p>
    <w:p>
      <w:pPr>
        <w:spacing w:after="0" w:line="171" w:lineRule="exact"/>
        <w:rPr>
          <w:rFonts w:ascii="Times New Roman" w:cs="Times New Roman" w:eastAsia="Times New Roman" w:hAnsi="Times New Roman"/>
          <w:sz w:val="18"/>
          <w:szCs w:val="18"/>
          <w:color w:val="auto"/>
        </w:rPr>
      </w:pPr>
    </w:p>
    <w:p>
      <w:pPr>
        <w:ind w:left="660" w:right="30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impacts of current global supply chain disruptions, further escalation of tensions between Russia and Western countries and the related sanctions and geopolitical tensions, as well as further escalation of trade tensions between the U.S. and China; the inflationary environment; the tight labor market; the continued impact of the COVID-19 pandemic and evolving strains of COVID-19; and other macroeconomic factors on our business and the actions we may take in the future in response thereto;</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and Warrants on Nasdaq; and</w:t>
      </w:r>
    </w:p>
    <w:p>
      <w:pPr>
        <w:spacing w:after="0" w:line="169" w:lineRule="exact"/>
        <w:rPr>
          <w:rFonts w:ascii="Times New Roman" w:cs="Times New Roman" w:eastAsia="Times New Roman" w:hAnsi="Times New Roman"/>
          <w:sz w:val="18"/>
          <w:szCs w:val="18"/>
          <w:color w:val="auto"/>
        </w:rPr>
      </w:pPr>
    </w:p>
    <w:p>
      <w:pPr>
        <w:ind w:left="660" w:right="140" w:hanging="328"/>
        <w:spacing w:after="0" w:line="284"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herein and in the documents incorporated by reference herein, including our latest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40" w:right="359" w:bottom="1440" w:gutter="0" w:footer="0" w:header="0"/>
        </w:sectPr>
      </w:pPr>
    </w:p>
    <w:bookmarkStart w:id="11" w:name="page12"/>
    <w:bookmarkEnd w:id="11"/>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and the documents incorporated by reference herein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herein and the documents incorporated by reference herein.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34"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This prospectus and the documents incorporated by reference herein may contain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w:t>
      </w:r>
    </w:p>
    <w:p>
      <w:pPr>
        <w:spacing w:after="0" w:line="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but not limited to, those described in the section entitled “Risk Factors” herein and in the documents incorporated by reference herein. These and other factors could cause results to differ materially from those expressed in these publications and reports.</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(https://investors.buzzfeed.com),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20" w:top="1440" w:right="399" w:bottom="1440" w:gutter="0" w:footer="0" w:header="0"/>
        </w:sectPr>
      </w:pPr>
    </w:p>
    <w:bookmarkStart w:id="12" w:name="page13"/>
    <w:bookmarkEnd w:id="1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filed with the SEC a post-effective amendment on Form S-3, including exhibits, to our registration statement on Form S-1 under the Securities Act with respect to the securities offered hereby. This prospectus, which constitutes part of the registration statement, does not contain all of the information in the registration statement and its exhibits. For further information with respect to BuzzFeed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at the SEC’s website at www.sec.gov.</w:t>
      </w:r>
    </w:p>
    <w:p>
      <w:pPr>
        <w:spacing w:after="0" w:line="13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we are required to file reports, proxy statements and other information with the SEC. These reports, proxy statements and other information will be available for review at the SEC’s website referred to above. We also maintain a website at www.buzzfeed.com,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108"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1">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March 16, 2023;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contained in our registration statement on </w:t>
      </w:r>
      <w:hyperlink r:id="rId12">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001-39877), filed with the SEC on January 11, 2021, pursuant to Section 12 of the Exchange Act, as updated by </w:t>
      </w:r>
      <w:hyperlink r:id="rId13">
        <w:r>
          <w:rPr>
            <w:rFonts w:ascii="Times New Roman" w:cs="Times New Roman" w:eastAsia="Times New Roman" w:hAnsi="Times New Roman"/>
            <w:sz w:val="18"/>
            <w:szCs w:val="18"/>
            <w:u w:val="single" w:color="auto"/>
            <w:color w:val="0000FF"/>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2022 filed with the SEC on March 16, 2023.</w:t>
      </w:r>
    </w:p>
    <w:p>
      <w:pPr>
        <w:spacing w:after="0" w:line="122" w:lineRule="exact"/>
        <w:rPr>
          <w:rFonts w:ascii="Times New Roman" w:cs="Times New Roman" w:eastAsia="Times New Roman" w:hAnsi="Times New Roman"/>
          <w:sz w:val="18"/>
          <w:szCs w:val="18"/>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 Under no circumstances shall any information furnished under Item 2.02 or 7.01 of Form 8-K be deemed incorporated herein by reference unless such Form 8-K expressly provides to the contrary.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in greater details elsewhere in this prospectus or incorporated by reference into this prospectus. This summary is not complete and does not contain all of the information you should consider in making your investment decision. You should read the entire prospectus and the documents we have incorporated by reference in this prospectus carefully before making an investment in our securities. You should carefully consider, among other things, our financial statements and related notes and the information set forth in the section entitled “Risk Factors” and other information incorporated by reference into this prospectus from our filings with the SEC. See also the sections entitled “Where You Can Find More Information” and “Incorporation By Reference.”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BuzzFeed is a premier digital media company for the most diverse, most online, and most socially connected generations the world has ever seen. Across food, news, pop culture and commerce, our brands drive conversation and inspire what audiences watch, read, and buy now — and into the future. With a portfolio of iconic, globally-loved brands that includes BuzzFeed, Tasty, HuffPost, BuzzFeed News, and Complex Networks, we are the number one destination for Gen Z and Millennials amongst our competitive set, in terms of time spent, according to Comscore.</w:t>
      </w:r>
    </w:p>
    <w:p>
      <w:pPr>
        <w:spacing w:after="0" w:line="126" w:lineRule="exact"/>
        <w:rPr>
          <w:sz w:val="20"/>
          <w:szCs w:val="20"/>
          <w:color w:val="auto"/>
        </w:rPr>
      </w:pPr>
    </w:p>
    <w:p>
      <w:pPr>
        <w:jc w:val="both"/>
        <w:ind w:right="920"/>
        <w:spacing w:after="0" w:line="312" w:lineRule="auto"/>
        <w:rPr>
          <w:sz w:val="20"/>
          <w:szCs w:val="20"/>
          <w:color w:val="auto"/>
        </w:rPr>
      </w:pPr>
      <w:r>
        <w:rPr>
          <w:rFonts w:ascii="Times New Roman" w:cs="Times New Roman" w:eastAsia="Times New Roman" w:hAnsi="Times New Roman"/>
          <w:sz w:val="17"/>
          <w:szCs w:val="17"/>
          <w:color w:val="auto"/>
        </w:rPr>
        <w:t>BuzzFeed’s mission is to spread truth, joy, and creativity. We are committed to making the Internet better: providing trusted, quality, brand-safe entertainment and news; making content on the Internet more inclusive, empathetic and creative; and inspiring our audience to live better lives.</w:t>
      </w:r>
    </w:p>
    <w:p>
      <w:pPr>
        <w:spacing w:after="0" w:line="8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BuzzFeed curates the Internet, and acts as an “inspiration engine,” driving both online and real-world action and transactions. Our strong audience signal and powerful content flywheel enable us to create category-leading brands and a deep, two-way connection with our audiences, as well as high-quality content at massive scale and low cost. Working across platforms allows us to adapt content from one platform and innovate around new formats to drive engagement on other platforms. This means we can reach our audiences wherever they are — across our owned and operated properties and the major social platforms, including Facebook, YouTube, Instagram, TikTok, Snapchat, Twitter, and Apple News. In 2022, our audiences consumed more than 620 million hours of content and drove over $500 million in attributable transactions. For additional discussion on Time Spent, refer to Part II, Item 7. “Management’s Discussion and Analysis of Financial Condition and Results of Operations” in our Annual Report on Form 10-K for the year ended December 31, 2022, filed with the SEC on March 16, 2023 and incorporated by reference into this prospectus.</w:t>
      </w:r>
    </w:p>
    <w:p>
      <w:pPr>
        <w:spacing w:after="0" w:line="138"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This pioneering work was followed by a period of significant growth, during which BuzzFeed became a household name. Over the last few years, we have prioritized investments to focus on revenue diversification and profitability (on an Adjusted EBITDA basis, a non-GAAP measure as defined in Item 7.</w:t>
      </w:r>
    </w:p>
    <w:p>
      <w:pPr>
        <w:spacing w:after="0" w:line="3"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 in our Annual Report on Form 10-K for the year ended December 31, 2022, filed with the SEC on March 16, 2023 and incorporated by reference into this prospectus). Our data-driven approach to content creation and our cross-platform distribution network have enabled us to monetize our content by delivering a comprehensive suite of digital advertising products and services and introducing new, complementary revenue streams.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were incorporated on September 9, 2020 as a special purpose acquisition company and a Delaware corporation under the name 890 5th Avenue Partners, Inc. On January 14, 2021, 890 completed its IPO. On December 3, 2021, 890 consummated the Business Combination with Legacy BuzzFeed pursuant to the Merger Agreement. In connection with the Business Combination, 890 changed its name to BuzzFeed, Inc. Our Class A common stock and Public Warrants are listed on Nasdaq under the symbols “BZFD” and “BZFDW,”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address is 229 West 43rd Street, 10th Floor New York, New York 10036. Our telephone number is (646) 589-8592. Our website address is https://www.buzzfeed.com. Information contained on our website or connected thereto does not constitute part of, and is not incorporated by reference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40" w:right="359" w:bottom="1440" w:gutter="0" w:footer="0" w:header="0"/>
        </w:sectPr>
      </w:pPr>
    </w:p>
    <w:bookmarkStart w:id="16" w:name="page17"/>
    <w:bookmarkEnd w:id="16"/>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1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BuzzFeed, Inc.</w:t>
      </w:r>
    </w:p>
    <w:p>
      <w:pPr>
        <w:spacing w:after="0" w:line="7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Issuance of Class A common stock by us</w:t>
      </w:r>
      <w:r>
        <w:rPr>
          <w:sz w:val="20"/>
          <w:szCs w:val="20"/>
          <w:color w:val="auto"/>
        </w:rPr>
        <w:tab/>
      </w:r>
      <w:r>
        <w:rPr>
          <w:rFonts w:ascii="Times New Roman" w:cs="Times New Roman" w:eastAsia="Times New Roman" w:hAnsi="Times New Roman"/>
          <w:sz w:val="17"/>
          <w:szCs w:val="17"/>
          <w:color w:val="auto"/>
        </w:rPr>
        <w:t>Shares of Class A common stock offered by us</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Up to 9,875,833 shares, consisting of:</w:t>
      </w:r>
    </w:p>
    <w:p>
      <w:pPr>
        <w:spacing w:after="0" w:line="171" w:lineRule="exact"/>
        <w:rPr>
          <w:sz w:val="20"/>
          <w:szCs w:val="20"/>
          <w:color w:val="auto"/>
        </w:rPr>
      </w:pPr>
    </w:p>
    <w:p>
      <w:pPr>
        <w:ind w:left="5940"/>
        <w:spacing w:after="0"/>
        <w:tabs>
          <w:tab w:leader="none" w:pos="6240" w:val="left"/>
        </w:tabs>
        <w:rPr>
          <w:sz w:val="20"/>
          <w:szCs w:val="20"/>
          <w:color w:val="auto"/>
        </w:rPr>
      </w:pPr>
      <w:r>
        <w:rPr>
          <w:rFonts w:ascii="Times New Roman" w:cs="Times New Roman" w:eastAsia="Times New Roman" w:hAnsi="Times New Roman"/>
          <w:sz w:val="18"/>
          <w:szCs w:val="18"/>
          <w:color w:val="auto"/>
        </w:rPr>
        <w:t>•</w:t>
        <w:tab/>
        <w:t>up to 292,500 shares of Class A common stock that are issuable</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7"/>
          <w:szCs w:val="17"/>
          <w:color w:val="auto"/>
        </w:rPr>
        <w:t>upon the exercise of the Private Placement Warrants and Working</w:t>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Capital Warrants; and</w:t>
      </w:r>
    </w:p>
    <w:p>
      <w:pPr>
        <w:sectPr>
          <w:pgSz w:w="11900" w:h="16838" w:orient="portrait"/>
          <w:cols w:equalWidth="0" w:num="1">
            <w:col w:w="11160"/>
          </w:cols>
          <w:pgMar w:left="34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A common stock outstanding as of February 28,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445" w:lineRule="auto"/>
        <w:rPr>
          <w:sz w:val="20"/>
          <w:szCs w:val="20"/>
          <w:color w:val="auto"/>
        </w:rPr>
      </w:pPr>
      <w:r>
        <w:rPr>
          <w:rFonts w:ascii="Times New Roman" w:cs="Times New Roman" w:eastAsia="Times New Roman" w:hAnsi="Times New Roman"/>
          <w:sz w:val="17"/>
          <w:szCs w:val="17"/>
          <w:color w:val="auto"/>
        </w:rPr>
        <w:t>Shares of Class B common stock outstanding as of February 28, 2023 Shares of Class C common stock outstanding as of February 28, 2023</w:t>
      </w:r>
    </w:p>
    <w:p>
      <w:pPr>
        <w:spacing w:after="0" w:line="200" w:lineRule="exact"/>
        <w:rPr>
          <w:sz w:val="20"/>
          <w:szCs w:val="20"/>
          <w:color w:val="auto"/>
        </w:rPr>
      </w:pPr>
    </w:p>
    <w:p>
      <w:pPr>
        <w:spacing w:after="0" w:line="223" w:lineRule="exact"/>
        <w:rPr>
          <w:sz w:val="20"/>
          <w:szCs w:val="20"/>
          <w:color w:val="auto"/>
        </w:rPr>
      </w:pPr>
    </w:p>
    <w:p>
      <w:pPr>
        <w:ind w:right="280"/>
        <w:spacing w:after="0" w:line="445" w:lineRule="auto"/>
        <w:rPr>
          <w:sz w:val="20"/>
          <w:szCs w:val="20"/>
          <w:color w:val="auto"/>
        </w:rPr>
      </w:pPr>
      <w:r>
        <w:rPr>
          <w:rFonts w:ascii="Times New Roman" w:cs="Times New Roman" w:eastAsia="Times New Roman" w:hAnsi="Times New Roman"/>
          <w:sz w:val="17"/>
          <w:szCs w:val="17"/>
          <w:color w:val="auto"/>
        </w:rPr>
        <w:t>Shares of common stock outstanding as of February 28, 2023 Exercise price of Public Warrants and Private Placement Warrants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660" w:right="160" w:hanging="334"/>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9,583,333 shares of Class A common stock that are issuable upon the exercise of the Public Warrants.</w:t>
      </w:r>
    </w:p>
    <w:p>
      <w:pPr>
        <w:spacing w:after="0" w:line="4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126,541,522 shares of Class A common stock. On March 15, 2023, all of the Class C common stock was converted into Class A common stock, which</w:t>
      </w:r>
    </w:p>
    <w:p>
      <w:pPr>
        <w:ind w:right="620"/>
        <w:spacing w:after="0" w:line="226" w:lineRule="auto"/>
        <w:rPr>
          <w:sz w:val="20"/>
          <w:szCs w:val="20"/>
          <w:color w:val="auto"/>
        </w:rPr>
      </w:pPr>
      <w:r>
        <w:rPr>
          <w:rFonts w:ascii="Times New Roman" w:cs="Times New Roman" w:eastAsia="Times New Roman" w:hAnsi="Times New Roman"/>
          <w:sz w:val="18"/>
          <w:szCs w:val="18"/>
          <w:color w:val="auto"/>
        </w:rPr>
        <w:t>resulted in the issuance of an additional 6,478,031 shares of Class A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6,675,517 shares of Class B common stock</w:t>
      </w:r>
    </w:p>
    <w:p>
      <w:pPr>
        <w:spacing w:after="0" w:line="7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6,478,031 shares of Class C common stock. On March 15, 2023, all of the Class C common stock was converted into Class A common stock. As of the</w:t>
      </w:r>
    </w:p>
    <w:p>
      <w:pPr>
        <w:ind w:right="600"/>
        <w:spacing w:after="0" w:line="226" w:lineRule="auto"/>
        <w:rPr>
          <w:sz w:val="20"/>
          <w:szCs w:val="20"/>
          <w:color w:val="auto"/>
        </w:rPr>
      </w:pPr>
      <w:r>
        <w:rPr>
          <w:rFonts w:ascii="Times New Roman" w:cs="Times New Roman" w:eastAsia="Times New Roman" w:hAnsi="Times New Roman"/>
          <w:sz w:val="18"/>
          <w:szCs w:val="18"/>
          <w:color w:val="auto"/>
        </w:rPr>
        <w:t>date of this prospectus, there are no shares of Class C common stock outstanding.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139,695,070 shares of common stock</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 per share, subject to adjustments as described herein</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receive up to an aggregate of approximately $113.6 million from the exercise of the Warrants, assuming the exercise in full of all of the outstanding Warrants for cash. We expect to use any net proceeds from the exercise of the Warrants for investment in growth and general corporate purposes, which may include acquisitions or other strategic investments or repayment of outstanding indebtedness.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5040" w:space="580"/>
            <w:col w:w="5540"/>
          </w:cols>
          <w:pgMar w:left="340" w:top="144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60"/>
          </w:cols>
          <w:pgMar w:left="340" w:top="1440" w:right="399" w:bottom="1440" w:gutter="0" w:footer="0" w:header="0"/>
          <w:type w:val="continuous"/>
        </w:sectPr>
      </w:pPr>
    </w:p>
    <w:bookmarkStart w:id="17" w:name="page18"/>
    <w:bookmarkEnd w:id="17"/>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Class A common stock and Warrants</w:t>
      </w:r>
    </w:p>
    <w:p>
      <w:pPr>
        <w:spacing w:after="0" w:line="9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Shares of Class A common stock offered by the Selling Securityholders:</w:t>
      </w:r>
      <w:r>
        <w:rPr>
          <w:sz w:val="20"/>
          <w:szCs w:val="20"/>
          <w:color w:val="auto"/>
        </w:rPr>
        <w:tab/>
      </w:r>
      <w:r>
        <w:rPr>
          <w:rFonts w:ascii="Times New Roman" w:cs="Times New Roman" w:eastAsia="Times New Roman" w:hAnsi="Times New Roman"/>
          <w:sz w:val="18"/>
          <w:szCs w:val="18"/>
          <w:color w:val="auto"/>
        </w:rPr>
        <w:t>Up to 109,852,174 shares, consisting of:</w:t>
      </w:r>
    </w:p>
    <w:p>
      <w:pPr>
        <w:spacing w:after="0" w:line="171" w:lineRule="exact"/>
        <w:rPr>
          <w:sz w:val="20"/>
          <w:szCs w:val="20"/>
          <w:color w:val="auto"/>
        </w:rPr>
      </w:pPr>
    </w:p>
    <w:p>
      <w:pPr>
        <w:ind w:left="5940"/>
        <w:spacing w:after="0"/>
        <w:tabs>
          <w:tab w:leader="none" w:pos="6240" w:val="left"/>
        </w:tabs>
        <w:rPr>
          <w:sz w:val="20"/>
          <w:szCs w:val="20"/>
          <w:color w:val="auto"/>
        </w:rPr>
      </w:pPr>
      <w:r>
        <w:rPr>
          <w:rFonts w:ascii="Times New Roman" w:cs="Times New Roman" w:eastAsia="Times New Roman" w:hAnsi="Times New Roman"/>
          <w:sz w:val="18"/>
          <w:szCs w:val="18"/>
          <w:color w:val="auto"/>
        </w:rPr>
        <w:t>•</w:t>
        <w:tab/>
        <w:t>up to 91,380,080 shares of Class A common stock (including shares</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of Class A common stock issuable on conversion of shares of Class</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 common stock), including certain shares being registered</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pursuant to the Registration Rights Agreement;</w:t>
      </w:r>
    </w:p>
    <w:p>
      <w:pPr>
        <w:spacing w:after="0" w:line="153" w:lineRule="exact"/>
        <w:rPr>
          <w:sz w:val="20"/>
          <w:szCs w:val="20"/>
          <w:color w:val="auto"/>
        </w:rPr>
      </w:pPr>
    </w:p>
    <w:p>
      <w:pPr>
        <w:ind w:left="5940"/>
        <w:spacing w:after="0"/>
        <w:tabs>
          <w:tab w:leader="none" w:pos="6240" w:val="left"/>
        </w:tabs>
        <w:rPr>
          <w:sz w:val="20"/>
          <w:szCs w:val="20"/>
          <w:color w:val="auto"/>
        </w:rPr>
      </w:pPr>
      <w:r>
        <w:rPr>
          <w:rFonts w:ascii="Times New Roman" w:cs="Times New Roman" w:eastAsia="Times New Roman" w:hAnsi="Times New Roman"/>
          <w:sz w:val="18"/>
          <w:szCs w:val="18"/>
          <w:color w:val="auto"/>
        </w:rPr>
        <w:t>•</w:t>
        <w:tab/>
        <w:t>2,834,594 shares of Class A common stock issued or issuable upon</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conversion following the exercise or settlement of certain stock</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options and restricted stock units; and</w:t>
      </w:r>
    </w:p>
    <w:p>
      <w:pPr>
        <w:spacing w:after="0" w:line="153" w:lineRule="exact"/>
        <w:rPr>
          <w:sz w:val="20"/>
          <w:szCs w:val="20"/>
          <w:color w:val="auto"/>
        </w:rPr>
      </w:pPr>
    </w:p>
    <w:p>
      <w:pPr>
        <w:ind w:left="5940"/>
        <w:spacing w:after="0"/>
        <w:tabs>
          <w:tab w:leader="none" w:pos="6240" w:val="left"/>
        </w:tabs>
        <w:rPr>
          <w:sz w:val="20"/>
          <w:szCs w:val="20"/>
          <w:color w:val="auto"/>
        </w:rPr>
      </w:pPr>
      <w:r>
        <w:rPr>
          <w:rFonts w:ascii="Times New Roman" w:cs="Times New Roman" w:eastAsia="Times New Roman" w:hAnsi="Times New Roman"/>
          <w:sz w:val="18"/>
          <w:szCs w:val="18"/>
          <w:color w:val="auto"/>
        </w:rPr>
        <w:t>•</w:t>
        <w:tab/>
        <w:t>up to 15,637,500 shares of Class A common stock issuable upon the</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conversion of the Notes.</w:t>
      </w:r>
    </w:p>
    <w:p>
      <w:pPr>
        <w:sectPr>
          <w:pgSz w:w="11900" w:h="16838" w:orient="portrait"/>
          <w:cols w:equalWidth="0" w:num="1">
            <w:col w:w="11180"/>
          </w:cols>
          <w:pgMar w:left="340" w:top="1440" w:right="379" w:bottom="1440" w:gutter="0" w:footer="0" w:header="0"/>
        </w:sectPr>
      </w:pPr>
    </w:p>
    <w:p>
      <w:pPr>
        <w:spacing w:after="0" w:line="261" w:lineRule="exact"/>
        <w:rPr>
          <w:sz w:val="20"/>
          <w:szCs w:val="20"/>
          <w:color w:val="auto"/>
        </w:rPr>
      </w:pPr>
    </w:p>
    <w:p>
      <w:pPr>
        <w:ind w:right="1460"/>
        <w:spacing w:after="0" w:line="657" w:lineRule="auto"/>
        <w:rPr>
          <w:sz w:val="20"/>
          <w:szCs w:val="20"/>
          <w:color w:val="auto"/>
        </w:rPr>
      </w:pPr>
      <w:r>
        <w:rPr>
          <w:rFonts w:ascii="Times New Roman" w:cs="Times New Roman" w:eastAsia="Times New Roman" w:hAnsi="Times New Roman"/>
          <w:sz w:val="18"/>
          <w:szCs w:val="18"/>
          <w:color w:val="auto"/>
        </w:rPr>
        <w:t>Warrants offered by the Selling Securityholders Terms of the offering</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Up to 64,999 Private Placement Warrants and 33,333 Working Capital Warrants</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Selling Securityholders will determine when and how they will dispose of the shares of Class A common stock and Warrants registered under this prospectus for resale.</w:t>
      </w:r>
    </w:p>
    <w:p>
      <w:pPr>
        <w:spacing w:after="0" w:line="68" w:lineRule="exact"/>
        <w:rPr>
          <w:sz w:val="20"/>
          <w:szCs w:val="20"/>
          <w:color w:val="auto"/>
        </w:rPr>
      </w:pPr>
    </w:p>
    <w:p>
      <w:pPr>
        <w:sectPr>
          <w:pgSz w:w="11900" w:h="16838" w:orient="portrait"/>
          <w:cols w:equalWidth="0" w:num="2">
            <w:col w:w="4900" w:space="720"/>
            <w:col w:w="5560"/>
          </w:cols>
          <w:pgMar w:left="340" w:top="1440" w:right="379" w:bottom="1440" w:gutter="0" w:footer="0" w:header="0"/>
          <w:type w:val="continuous"/>
        </w:sect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will not receive any proceeds from the sale of shares of Class A common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stock or Warrants by the Selling Securityholders.</w:t>
      </w:r>
    </w:p>
    <w:p>
      <w:pPr>
        <w:spacing w:after="0" w:line="9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Nasdaq symbols</w:t>
      </w:r>
      <w:r>
        <w:rPr>
          <w:sz w:val="20"/>
          <w:szCs w:val="20"/>
          <w:color w:val="auto"/>
        </w:rPr>
        <w:tab/>
      </w:r>
      <w:r>
        <w:rPr>
          <w:rFonts w:ascii="Times New Roman" w:cs="Times New Roman" w:eastAsia="Times New Roman" w:hAnsi="Times New Roman"/>
          <w:sz w:val="17"/>
          <w:szCs w:val="17"/>
          <w:color w:val="auto"/>
        </w:rPr>
        <w:t>Our Class A common stock and Public Warrants are listed on Nasdaq under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symbols “BZFD” and “BZFDW”, respectively.</w:t>
      </w:r>
    </w:p>
    <w:p>
      <w:pPr>
        <w:spacing w:after="0" w:line="9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on page 12 and other information included in this</w:t>
      </w:r>
    </w:p>
    <w:p>
      <w:pPr>
        <w:spacing w:after="0" w:line="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prospectus for a discussion of factors you should consider before investing in</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80"/>
          </w:cols>
          <w:pgMar w:left="340" w:top="1440" w:right="379" w:bottom="1440" w:gutter="0" w:footer="0" w:header="0"/>
          <w:type w:val="continuous"/>
        </w:sectPr>
      </w:pPr>
    </w:p>
    <w:bookmarkStart w:id="18" w:name="page19"/>
    <w:bookmarkEnd w:id="18"/>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Investment in the securities offered pursuant to this prospectus and any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or incorporated by reference into any applicable prospectus supplement before acquiring any of such securities.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contained or incorporated by reference into this prospectus and in any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40" w:right="359" w:bottom="1440" w:gutter="0" w:footer="0" w:header="0"/>
        </w:sectPr>
      </w:pPr>
    </w:p>
    <w:bookmarkStart w:id="19" w:name="page20"/>
    <w:bookmarkEnd w:id="19"/>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All of the securities offered by the Selling Securityholders pursuant to this prospectus will be sold by the Selling Securityholders for their respective accounts. We will not receive any of the proceeds from these sales. Assuming the exercise of all outstanding Warrants for cash, we will receive an aggregate of approximately $113.6 million, but will not receive any proceeds from the sale of the shares of our Class A common stock issuable upon such exercise. We expect to use the net proceeds from the exercise of the Warrants, if any, for investment in growth, and general corporate purposes, which may include acquisitions or other strategic investments or repayment of outstanding indebtedness. We will have broad discretion over the use of any proceeds from the exercise of the Warrants. There is no assurance that the holders of the Warrants will elect to exercise for cash any or all of such Warrants. To the extent that any Warrants are exercised on a “cashless basis,” the amount of cash we would receive from the exercise of the Warrants will decrease.</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1440" w:right="439" w:bottom="1440" w:gutter="0" w:footer="0" w:header="0"/>
        </w:sectPr>
      </w:pPr>
    </w:p>
    <w:bookmarkStart w:id="20" w:name="page21"/>
    <w:bookmarkEnd w:id="2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Capital Stock</w:t>
      </w:r>
    </w:p>
    <w:p>
      <w:pPr>
        <w:spacing w:after="0" w:line="175"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780,000,000 shares, consisting of 700,000,000 shares of Class A common stock, par value $0.0001 per share, 20,000,000 shares of Class B common stock, par value $0.0001 per share, 10,000,000 shares of Class C common stock, par value $0.0001 per share, and 50,000,000 shares of preferred stock, par value $0.0001 per share. The Company will issue all shares of its capital stock in uncertificated form.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2023, there were outstanding:</w:t>
      </w:r>
    </w:p>
    <w:p>
      <w:pPr>
        <w:spacing w:after="0" w:line="17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126,541,522 shares of Class A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6,675,517 shares of Class B common stock;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6,478,031 shares of Class C common stock.</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March 15, 2023, all of the Class C common stock was converted into Class A common stock, which resulted in the issuance of an additional 6,478,031 shares of Class A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Holders of our Class A common stock are entitled to cast one vote for each share of Class A common stock held of record on all matters to be voted on by stockholders. Holders of our Class A common stock are not entitled to cumulate their votes in the election of directors.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Holders of our Class B common stock are entitled to fifty (50) votes for each share of Class B common stock held of record on all matters submitted to a vote of stockholders. Holders of our Class B common stock are not entitled to cumulate their votes in the election of directors. Holders of shares of Class A common stock and Class B common stock vote together as a single class on all matters (including the election of directors) submitted to a vote of stockholders, unless, otherwise required by the DGCL or the Certificate of Incorporation.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Class C common stock hold non-voting shares.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Holders of our Class A common stock, Class B common stock and Class C common stock will share ratably (based on the number of shares of common stock held) if and when any dividend is declared by the Board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common stock with respect to the payment of dividends.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7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On the liquidation, dissolution, distribution of assets or winding up of BuzzFeed, each holder of common stock will be entitled, pro rata on a per share basis, to all assets of BuzzFeed of whatever kind available for distribution to the holders of common stock, subject to the designations, preferences, limitations, restrictions and relative rights of any other class or series of preferred stock of BuzzFeed then outstanding.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Holders of shares of our Class A common stock do not have subscription, redemption or conversion rights. Holders of our Class B common stock and Class C common stock do not have subscription or redemption rights. All the outstanding shares of common stock are validly issued,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share of our Class B common stock is convertible into one share of Class A common stock at the option of the holder thereof at any time upon written notice to the Company. In addition, each share of our Class B common stock will automatically, without further action by the Company or the holder thereof, convert into one share of Class A common stock upon (A) the earliest to occur of (x) the date specified by the affirmative vote or written consent of holders of a majority of the shares of Class B common stock then outstanding; or (y) the date of the death of Jonah Peretti or (B) transfer to a non-authorized holder.</w:t>
      </w:r>
    </w:p>
    <w:p>
      <w:pPr>
        <w:spacing w:after="0" w:line="1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Each share of our Class C common stock is convertible into one share of Class A common stock at the option of the holder thereof upon written notice to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Certificate of Incorporation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will be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December 31, 2022, 9,875,833 Warrants were outstanding, comprised of 9,583,333 Public Warrants, 259,167 Private Placement Warrants and 33,333 Working Capital Warrants. Other than as noted in this section and as described under “—Private Placement Warrants and Working Capital Warrants” below, the Private Placement Warrants and the Working Capital Warrants have terms and provisions that are identical to those of the Public Warrants. Each whole Warrant entitles the registered holder to purchase one share of our Class A common stock at a price of $11.50 per whole share, subject to adjustment as discussed below, at any time. Pursuant to the agreement dated January 11, 2021, by and between BuzzFeed, Inc. (f//k/a 890 5th Avenue Partners, Inc.) and Continental Stock Transfer &amp; Trust Company (the “Warrant Agreement”), a Warrant holder may exercise its Warrants only for a whole number of shares of Class A common stock. This means only a whole Warrant may be exercised at a given time by a Warrant holder and only whole Warrants will trade. The Warrants will expire five years after the completion of the Business Combination, on December 3, 2026 at 5:00 p.m., New York City time, or earlier upon redemption or liquidation; provided, however, that the Private Placement Warrants held by PA 2 Co-Investment and Craig-Hallum and their respective affiliates will not be exercisable more than five years from the commencement of sales of 890’s IPO or after January 11, 2026, in accordance with FINRA Rule 5110(g)(8).</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not obligated to deliver any shares of Class A common stock pursuant to the exercise of a Warrant and will have no obligation to settle such Warrant exercise unless a registration statement under the Securities Act covering the issuance of the shares of Class A common stock issuable upon exercise of the Warrants is then effective and a current prospectus relating to those shares of Class A common stock is available, subject to the Company satisfying its obligations described below with respect to registration. The registration statement of which this prospectus forms a part is intended to satisfy this requirement. No Warrant will be exercisable for cash or on a cashless basis, and the Company is not obligated to issue any shares to holders seeking to exercise their Warrants, unless the issuance of the shares upon such exercise is registered or qualified under the securities laws of the state of the exercising holder, or an exemption is available. The listing of the Company’s Class A common stock on Nasdaq satisfies this requirement. In the event that the conditions in the two immediately preceding sentences are not satisfied with respect to a Warrant, the holder of such Warrant will not be entitled to exercise such Warrant and such Warrant may have no value and expire worthless.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use its best efforts to cause a registration statement registering the issuance of the shares of our Class A common stock issuable upon exercise of the Warrants to become effective and to maintain the effectiveness of such registration statement, and a current prospectus relating thereto, until the expiration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1440" w:right="359" w:bottom="1440" w:gutter="0" w:footer="0" w:header="0"/>
        </w:sectPr>
      </w:pPr>
    </w:p>
    <w:bookmarkStart w:id="22" w:name="page23"/>
    <w:bookmarkEnd w:id="22"/>
    <w:p>
      <w:pPr>
        <w:spacing w:after="0" w:line="14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Warrants in accordance with the provisions of the Warrant Agreement. The registration statement of which this prospectus forms a part is intended to satisfy this requirement.</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Notwithstanding the above, if our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best efforts to qualify the shares under applicable blue sky laws to the extent an exemption is not available.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when the price per share of Class A common stock equals or exceeds $18.00.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call the Warrants for redemption:</w:t>
      </w:r>
    </w:p>
    <w:p>
      <w:pPr>
        <w:spacing w:after="0" w:line="17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171"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our Class A common stock equals or exceeds $18.00 per share (as adjusted for stock splits, stock dividends, reorganizations, recapitalizations and the like and for certain issuances of Class A common stock and equity-linked securities as described below) for any 20 trading days within a 30-trading day period ending on the third trading day prior to the date the Company sends the notice of redemption to the Warrant holders.</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the Company issues a notice of redemption of the Warrants, each Warrant holder will be entitled to exercise his, her or its Warrant prior to the scheduled redemption date. However, the price of our Class A common stock may fall below the $18.00 redemption trigger price (as adjusted for stock splits, stock dividends, reorganizations, recapitalizations and the like and for certain issuances of Class A common stock and equity-linked securities as described below) as well as the $11.50 Warrant exercise price after the redemption notice is issued.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when the price per share of Class A common stock equals or exceeds $10.00.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may redeem the outstanding Warrants (except as described herein with respect to the Private Placement Warrants):</w:t>
      </w:r>
    </w:p>
    <w:p>
      <w:pPr>
        <w:spacing w:after="0" w:line="17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$0.10 per Warrant provided that holders will be able to exercise their Warrants prior to redemption and receive that number of shares of our Class A common stock determined by reference to the table below, based on the redemption date and the “fair market value” (as defined below) of our Class A common stock except as otherwise described below;</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w:t>
      </w:r>
    </w:p>
    <w:p>
      <w:pPr>
        <w:spacing w:after="0" w:line="171"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our Class A common stock equals or exceeds $10.00 per share (as adjusted for stock splits, stock dividends, reorganizations, recapitalizations and the like) on the trading day prior to the date on which the Company sends the notice of redemption to the Warrant holders; and</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an effective registration statement covering the issuance of the shares of Class A common stock issuable upon exercise of the Warrants and a current prospectus relating thereto is available throughout the 30-day period after written notice of redemption is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numbers in the table below represent the number of shares of our Class A common stock that a Warrant holder will receive upon cashless exercise in connection with a redemption by the Company pursuant to this redemption feature, based on the “fair market value” of Class A common stock on the corresponding redemption date (assuming holders elect to exercise their Warrants and such Warrants are not redeemed for $0.10 per Warrant), determined based on the average of the last reported sales price for the 10 trading days ending on the third trading day prior to the date on which the notice of redemption is sent to the holders of Warrants, and the number of months that the corresponding redemption date precedes the expiration date of the Warrants, each as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 to</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gridSpan w:val="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 Market Value of Class A Common Stock</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expiration of</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6"/>
            <w:vMerge w:val="continue"/>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≤$10.00</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$11.00</w:t>
            </w:r>
          </w:p>
        </w:tc>
        <w:tc>
          <w:tcPr>
            <w:tcW w:w="80" w:type="dxa"/>
            <w:vAlign w:val="bottom"/>
          </w:tcPr>
          <w:p>
            <w:pPr>
              <w:spacing w:after="0"/>
              <w:rPr>
                <w:sz w:val="16"/>
                <w:szCs w:val="16"/>
                <w:color w:val="auto"/>
              </w:rPr>
            </w:pP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$12.00</w:t>
            </w:r>
          </w:p>
        </w:tc>
        <w:tc>
          <w:tcPr>
            <w:tcW w:w="100" w:type="dxa"/>
            <w:vAlign w:val="bottom"/>
          </w:tcPr>
          <w:p>
            <w:pPr>
              <w:spacing w:after="0"/>
              <w:rPr>
                <w:sz w:val="16"/>
                <w:szCs w:val="16"/>
                <w:color w:val="auto"/>
              </w:rPr>
            </w:pP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$13.00</w:t>
            </w:r>
          </w:p>
        </w:tc>
        <w:tc>
          <w:tcPr>
            <w:tcW w:w="100" w:type="dxa"/>
            <w:vAlign w:val="bottom"/>
          </w:tcPr>
          <w:p>
            <w:pPr>
              <w:spacing w:after="0"/>
              <w:rPr>
                <w:sz w:val="16"/>
                <w:szCs w:val="16"/>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$14.00</w:t>
            </w:r>
          </w:p>
        </w:tc>
        <w:tc>
          <w:tcPr>
            <w:tcW w:w="80" w:type="dxa"/>
            <w:vAlign w:val="bottom"/>
          </w:tcPr>
          <w:p>
            <w:pPr>
              <w:spacing w:after="0"/>
              <w:rPr>
                <w:sz w:val="16"/>
                <w:szCs w:val="16"/>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15.00</w:t>
            </w:r>
          </w:p>
        </w:tc>
        <w:tc>
          <w:tcPr>
            <w:tcW w:w="100" w:type="dxa"/>
            <w:vAlign w:val="bottom"/>
          </w:tcPr>
          <w:p>
            <w:pPr>
              <w:spacing w:after="0"/>
              <w:rPr>
                <w:sz w:val="16"/>
                <w:szCs w:val="16"/>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$16.00</w:t>
            </w:r>
          </w:p>
        </w:tc>
        <w:tc>
          <w:tcPr>
            <w:tcW w:w="100" w:type="dxa"/>
            <w:vAlign w:val="bottom"/>
          </w:tcPr>
          <w:p>
            <w:pPr>
              <w:spacing w:after="0"/>
              <w:rPr>
                <w:sz w:val="16"/>
                <w:szCs w:val="16"/>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$17.00</w:t>
            </w:r>
          </w:p>
        </w:tc>
        <w:tc>
          <w:tcPr>
            <w:tcW w:w="100" w:type="dxa"/>
            <w:vAlign w:val="bottom"/>
          </w:tcPr>
          <w:p>
            <w:pPr>
              <w:spacing w:after="0"/>
              <w:rPr>
                <w:sz w:val="16"/>
                <w:szCs w:val="16"/>
                <w:color w:val="auto"/>
              </w:rPr>
            </w:pPr>
          </w:p>
        </w:tc>
        <w:tc>
          <w:tcPr>
            <w:tcW w:w="9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≥$18.00</w:t>
            </w:r>
          </w:p>
        </w:tc>
        <w:tc>
          <w:tcPr>
            <w:tcW w:w="0" w:type="dxa"/>
            <w:vAlign w:val="bottom"/>
          </w:tcPr>
          <w:p>
            <w:pPr>
              <w:spacing w:after="0"/>
              <w:rPr>
                <w:sz w:val="1"/>
                <w:szCs w:val="1"/>
                <w:color w:val="auto"/>
              </w:rPr>
            </w:pPr>
          </w:p>
        </w:tc>
      </w:tr>
      <w:tr>
        <w:trPr>
          <w:trHeight w:val="229"/>
        </w:trPr>
        <w:tc>
          <w:tcPr>
            <w:tcW w:w="1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 months</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0.257</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0.277</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0.294</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0.324</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54 months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 months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0.268</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48 months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 months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0.258</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 months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 months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0.246</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0.309</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36 months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0.239</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0.305</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 months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0.301</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months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0.224</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0.250</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0.297</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 months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0.214</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 months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0.204</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 months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0.279</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18 months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0.179</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0.271</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 months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0.164</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 months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 months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 months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0.099</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0.219</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months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4"/>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 months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0.042</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0.115</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0.179</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0.233</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0.281</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0.323</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average last reported sale price of our Class A common stock for the 10 trading days ending on the third trading date prior to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Class A common stock for each whole Warrant. For an example where the exact fair market value and redemption date are not as set forth in the table above, if the average last reported sale price of our Class A common stock for the 10 trading days ending on the third trading date prior to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Class A common stock for each whole Warrant. In no event will the Warrants be exercisable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redemption by the Company pursuant to this redemption feature, since they will not be exercisable for any shares of Class A common stock. The stock prices set forth in the column headings of the table above shall be adjusted as of any date on which the number of shares issuable upon exercise of a Warrant is adjusted (including for stock splits, stock dividends, rights issuances, subdivisions, reorganizations, recapitalizations and the like).</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Public Warrants held by the Company’s officers or directors will be subject to this redemption feature, except that such officers and directors shall only receive “fair market value” for such Public Warrants if they exercise their Public Warrants in connection with such redemption (“fair market value” for such Public Warrants held by the Company’s officers or directors being defined as the last reported sale price of the Public Warrants on such redemption date).</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stated above, the Company can redeem the Warrants when our Class A common stock is trading at a price starting at $10.00, which is below the exercise price of $11.50, because it will provide certainty with respect to the Company’s capital structure and cash position while providing Warrant holders with the opportunity to exercise their Warrants on a cashless basis for the applicable number of shares of Class A common stock. If the Company chooses to redeem the Warrants when Class A common stock is trading at a price below the exercise price of the Warrants, this could result in the Warrant holders receiving fewer shares of Class A common stock than they would have received if they had chosen to wait to exercise their Warrants for shares of Class A common stock if and when shares of Class A common stock were trading at a price higher than the exercise price of $11.50 per share.</w:t>
      </w:r>
    </w:p>
    <w:p>
      <w:pPr>
        <w:spacing w:after="0" w:line="133"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No fractional shares of our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 and Cashless Exercise.</w:t>
      </w:r>
    </w:p>
    <w:p>
      <w:pPr>
        <w:spacing w:after="0" w:line="17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 xml:space="preserve">If the Company calls the Warrants for redemption as described under “ — </w:t>
      </w:r>
      <w:r>
        <w:rPr>
          <w:rFonts w:ascii="Times New Roman" w:cs="Times New Roman" w:eastAsia="Times New Roman" w:hAnsi="Times New Roman"/>
          <w:sz w:val="17"/>
          <w:szCs w:val="17"/>
          <w:i w:val="1"/>
          <w:iCs w:val="1"/>
          <w:color w:val="auto"/>
        </w:rPr>
        <w:t>Redemption of Warrants when the price per share of Class A common 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equals or exceeds $18.00</w:t>
      </w:r>
      <w:r>
        <w:rPr>
          <w:rFonts w:ascii="Times New Roman" w:cs="Times New Roman" w:eastAsia="Times New Roman" w:hAnsi="Times New Roman"/>
          <w:sz w:val="17"/>
          <w:szCs w:val="17"/>
          <w:color w:val="auto"/>
        </w:rPr>
        <w:t>,” the Company’s management will have the option to require any holder that wishes to exercise his, her or its Warrant to do so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“cashless basis.” In determining whether to require all holders to exercise their Warrants on a “cashless basis,” the Company’s management will consider, among other factors, the Company’s cash position, the number of Warrants that are outstanding and the dilutive effect on the Company’s stockholders of issuing the maximum number of shares of our Class A common stock issuable upon the exercise of the Warrants. If the Company’s management takes advantage of this option, all holders of Warrants would pay the exercise price by surrendering their Warrants for that number of shares of our Class A common stock equal to the lesser of (A) the quotient obtained by dividing (x) the product of the number of shares of Class A common stock underlying the Warrants, multiplied by the excess of the “fair market value” (defined below) over the exercise price of the Warrants by (y) the fair market value and (B)</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0.361. The “fair market value” shall mean the average last reported sale price of our Class A common stock for the 10 trading days ending on the third trading day prior to the date on which the notice of redemption is sent to the holders of Warrants. If the Company’s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The Company believes this feature is an attractive option to the Company if the Company does not need the cash from the exercise of the Warrants. If the Company calls its Warrants for redemption and the Company’s management does not take advantage of this option, the Initial Stockholders and their permitted transferees would still be entitled to exercise the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3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our Class A common stock outstanding immediately after giving effect to such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the number of outstanding shares of our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our Class A common stock entitling holders to purchase shares of Class A common stock at a price less than the fair market value will be deemed a stock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multiplied by (2) one minus the quotient of (x) the price per share of Class A common stock paid in such rights offering divided by (y) the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if the Company, at any time while the Warrants are outstanding and unexpired, pays a dividend or makes a distribution in cash, securities or other assets to the holders of our Class A common stock on account of such shares of Class A common stock (or other shares of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our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2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our Class A common stock (other than those described above or that solely affects the par value of such shares of Class A common stock), or in the case of any merger or consolidation of the Company with or into another corporation (other than a consolidation or merger in which the Company is the continuing corporation and that does not result in any reclassification or reorganization of the Company’s outstanding shares of Class A common stock), or in the case of any sale or conveyance to another corporation or entity of the assets or other property of the Company as an entirety or substantially as an entirety in connection with which the Company is dissolved, the holders of the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our Class A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our Class A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per share consideration minus Black-Scholes Warrant Value (as defined in the Warrant Agreement) of the Warrant.</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Warrants were issued in registered form under the Warrant Agreement between Continental Stock Transfer &amp; Trust Company, as warrant agent, and the Company. You should review a copy of the Warrant Agreement, which is filed as an exhibit to the registration statement of which the prospectus forms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the Company, for the number of Warrants being exercised. The Warrant holders do not have the rights or privileges of holders of our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fractional Warrants have been issued and only whole Warrants will trade.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 and Working Capital Warrants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Founders purchased an aggregate of 777,500 Private Placement Units, consisting of one share of 890 Class A common stock and one-third of one Private Placement Warrant. At the Closing, each issued and outstanding unit of 890 was cancelled and entitled the holder thereof to one share of our Class A common stock and one-third of one Warrant. Thus, one Private Placement Warrant was issued for every three Private Placement Unit owned.</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an intended initial business combination, the Sponsor provided a $1.0 million loan to the Company. At the Closing, the Sponsor exercised its right to convert the working capital loan made by the Sponsor to the Company into an additional 33,333 Working Capital Warrants and 100,000 shares of our Class A common stock in satisfaction of $1.0 million principal amount of the loan.</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Private Placement Warrants will not be redeemable by the Company so long as they are held by the Initial Stockholders or their permitted transferees and the Working Capital Warrants will not be redeemable by the Company so long as they are held by the initial holders or their permitted transferees. The Initial Stockholders, or their permitted transferees, have the option to exercise the Private Placement Warrants on a cashless basis. The initial holders of the Working Capital Warrants, or their permitted transferees, have the option to exercise the Working Capital Warrants on a cashless basis. Otherwise, the Private Placement Warrants and the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Warrants have terms and provisions that are identical to those of the Warrants sold as part of the units in 890’s IPO. If the Private Placement Warrants are held by holders other than the Initial Stockholders or their permitted transferees, the Private Placement Warrants will be redeemable by the Company and exercisable by the holders on the same basis as the Warrants included in the units sold in 890’s IPO. If the Working Capital Warrants are held by holders other than the initial holders or their permitted transferees, the Working Capital Warrants will be redeemable by the Company and exercisable by the holders on the same basis as the Warrants included in the units sold in 890’s IPO.</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 holder of the Private Placement Warrants or Working Capital Warrants elects to exercise the Warrants on a cashless basis, the holder would pay the exercise price by surrendering his, her or its Warrants for that number of shares of our Class A common stock equal to the quotient obtained by dividing (x) the product of the number of shares of Class A common stock underlying the Warrants, multiplied by the excess of the “fair market value” (as defined below) over the exercise price of the Warrants by (y) the fair market value. The “fair market value” shall mean the average last reported sale price of our Class A common stock for the 10 trading days ending on the third trading day prior to the date on which the notice of redemption is sent to the holders of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Certificate of Incorporation provides that, to the fullest extent permitted by law, unless the Company otherwise consents in writing, the Court of Chancery (the “Chancery Court”) of the State of Delaware (or, in the event that the Chancery Court does not have jurisdiction, the federal district for the District of Delaware or other state courts of the State of Delaware) shall, to the fullest extent permitted by law, be the sole and exclusive forum for (1) any derivative action or proceeding brought on behalf of the Company, (2) any action asserting a claim of breach of a fiduciary duty owed by, or any other wrongdoing by, any current or former director, officer, other employee or stockholder of the Corporation, (3) any action asserting a claim against the Company arising pursuant to any provision of the DGCL, the Certificate of Incorporation or the Bylaws, or as to which the DGCL confers jurisdiction on the Court of Chancery, (4) any action to interpret, apply, enforce or determine the validity of any provisions of the Certificate of Incorporation or the Bylaws, or (5) any other action asserting a claim governed by the internal affairs doctrine. Notwithstanding the foregoing, the federal district courts of the United States shall be the exclusive forum for the resolution of any action, suit or proceeding asserting a cause of action arising under the Securities Act or the Exchange Act.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Board is divided into three classes, Class I, Class II and Class III, with only one class of directors being elected in each year and each class serving a three-year term, except that immediately following the Business Combination, Class I directors were elected to an initial one-year term (and three-year terms subsequently), the Class II directors were elected to an initial two-year term (and three-year terms subsequently) and the Class III directors were elected to an initial three-year term (and three-year terms subsequently). The election of directors will be determined by a plurality of the votes cast by the stockholders present in person or represented by proxy at the meeting and entitled to vote thereon.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the Certificate of Incorporation, the Bylaws and Applicable Law</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Certain provisions of the Certificate of Incorporation, the Bylaws, and laws of the State of Delaware, where BuzzFeed is incorporated, may discourage or make more difficult a takeover attempt that a stockholder might consider in his or her best interest. These provisions may also adversely affect prevailing market prices for our Class A common stock. BuzzFeed believes that the benefits of increased protection give the Company the potential ability to negotiate with the proponent of an unsolicited proposal to acquire or restructure BuzzFeed and outweigh the disadvantage of discouraging those proposals because negotiation of the proposals could result in an improvement of their terms. For additional information,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herein and in the documents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00"/>
          </w:cols>
          <w:pgMar w:left="320" w:top="1440" w:right="379" w:bottom="1440" w:gutter="0" w:footer="0" w:header="0"/>
        </w:sectPr>
      </w:pPr>
    </w:p>
    <w:bookmarkStart w:id="28" w:name="page29"/>
    <w:bookmarkEnd w:id="2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provides that certain shares of authorized but unissued common stock and preferred stock will be available for future issuances without stockholder approval and could be utilized for a variety of corporate purposes, including future public offerings, to raise additional capital, or to facilitate acquisitions. The existence of authorized but unissued and unreserved common stock and preferred stock could make more difficult or discourage an attempt to obtain control of BuzzFeed by means of a proxy contest, tender offer, merger, or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that the Board will be classified into three classes of directors of approximately equal size. As a result, in most circumstances, a person can gain control of the Board only by successfully engaging in a proxy contest at three or more annual meetings. Furthermore, because the Board is classified, directors may be removed only with cause by two-thirds of our outstanding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Meetings, Nominations and Proposals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Bylaws establish advance notice procedures with respect to stockholder proposals and the nomination of candidates for election as directors, other than nominations made by or at the direction of the Board or a committee of the Board. In order to be “properly brought” before a meeting, a stockholder will have to comply with advance notice requirements and provide BuzzFeed with certain information. Generally, to be timely, a stockholder’s notice must be received at BuzzFeed’s principal executive offices not less than 90 days nor more than 120 days prior to the first anniversary of the immediately preceding annual meeting of stockholders.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Bylaws also specify requirements as to the form and content of a stockholder’s notice. Specifically, a stockholder’s notice must include: (i) a brief description of the business desired to be brought before the annual meeting, the text of the proposal or business (including the text of any resolutions proposed for consideration and in the event such business includes a proposal to amend the bylaws, the language of the proposed amendment) and the reasons for conducting such business at the annual meeting, (ii) the name and record address of such stockholder and the name and address of the beneficial owner, if any, on whose behalf the proposal is made, (iii) the class or series and number of shares of our capital stock that are owned beneficially and of record by such stockholder and by the beneficial owner, if any, on whose behalf the proposal is made, (iv) a description of all arrangements or understandings between such stockholder and the beneficial owner, if any, on whose behalf the proposal is made and any other person or persons (including their names) in connection with the proposal of such business by such stockholder, (v) any material interest of such stockholder and the beneficial owner, if any, on whose behalf the proposal is made in such business and (vi) a representation that such stockholder (or a qualified representative of such stockholder) intends to appear in person or by proxy at the annual meeting to bring such business before the meeting. These notice requirements will be deemed satisfied by a stockholder as to any proposal (other than nominations) if the stockholder has notified BuzzFeed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us to solicit proxies for such annual meeting. The Bylaws also allow the chairman of the meeting at a meeting of the stockholders to adopt rules and regulations for the conduct of meetings which may have the effect of precluding the conduct of certain business at a meeting if the rules and regulations are not followed.</w:t>
      </w:r>
    </w:p>
    <w:p>
      <w:pPr>
        <w:spacing w:after="0" w:line="142" w:lineRule="exact"/>
        <w:rPr>
          <w:sz w:val="20"/>
          <w:szCs w:val="20"/>
          <w:color w:val="auto"/>
        </w:rPr>
      </w:pPr>
    </w:p>
    <w:p>
      <w:pPr>
        <w:jc w:val="both"/>
        <w:ind w:right="440"/>
        <w:spacing w:after="0" w:line="282" w:lineRule="auto"/>
        <w:rPr>
          <w:sz w:val="20"/>
          <w:szCs w:val="20"/>
          <w:color w:val="auto"/>
        </w:rPr>
      </w:pPr>
      <w:r>
        <w:rPr>
          <w:rFonts w:ascii="Times New Roman" w:cs="Times New Roman" w:eastAsia="Times New Roman" w:hAnsi="Times New Roman"/>
          <w:sz w:val="18"/>
          <w:szCs w:val="18"/>
          <w:color w:val="auto"/>
        </w:rPr>
        <w:t>These provisions may also defer, delay, or discourage a potential acquirer from conducting a solicitation of proxies to elect the acquirer’s own slate of directors or otherwise attempting to influence or obtain control of BuzzFeed.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Stockholder Action by Written Consent</w:t>
      </w:r>
    </w:p>
    <w:p>
      <w:pPr>
        <w:spacing w:after="0" w:line="17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that, subject to the terms of any series of preferred stock, any action required or permitted to be taken by the stockholders of BuzzFeed must be effected at an annual or special meeting of the stockholders and may not be effected by written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and the Bylaws provide that special meetings of stockholders may be called only by the Chairman of the Board, the Chief Executive Officer of BuzzFeed or the Board pursuant to a resolution adopted by a majority of the Board. Stockholders of BuzzFeed will not be eligible and will have no right to call a special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Certificate of Incorporation and the Bylaws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provides that it may be amended by BuzzFeed in the manner provided therein or prescribed by statute. The Certificate of Incorporation provides that the affirmative vote of the holders of a majority of the voting power of the then-outstanding shares of capital stock of BuzzFeed entitled to vote generally in the election of directors, voting together as a single class, will be required to amend or repeal, or adopt any provision of the Certificate of Incorporation providing for the capital stock of BuzzFeed, amendment of the Certificate of Incorporation, amendment of the Bylaws, board of directors, election of directors, limitation of director liability, indemnification and special meetings of the stockholders.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Certificate of Incorporation also provides that the Board shall have the power to adopt, amend, alter, or repeal the Bylaws by the affirmative vote of a majority of the directors present at any regular or special meeting of the Board at which a quorum is present in any manner not inconsistent with the laws of the State of Delaware or the Certificate of Incorporation. The stockholders of BuzzFeed are prohibited from adopting, amending, altering, or repealing the Bylaws, and from adopting any provision inconsistent with the Bylaws, unless such action is approved, in addition to any other vote required by the Certificate of Incorporation, by the affirmative vote of the holders of at least two-thirds of the voting power of all then outstanding shares of capital stock of BuzzFeed entitled to vote generally in the election of directors, voting together as a single class.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Under Section 203 of the DGCL, a corporation will not be permitted to engage in a business combination with any interested stockholder (a person who, together with that person’s affiliates and associates, owns, or within the previous three years owned, 15% or more of BuzzFeed’s outstanding voting stock) for a period of three years following the time that such interested stockholder became an interested stockholder, unless:</w:t>
      </w:r>
    </w:p>
    <w:p>
      <w:pPr>
        <w:spacing w:after="0" w:line="122" w:lineRule="exact"/>
        <w:rPr>
          <w:sz w:val="20"/>
          <w:szCs w:val="20"/>
          <w:color w:val="auto"/>
        </w:rPr>
      </w:pPr>
    </w:p>
    <w:p>
      <w:pPr>
        <w:ind w:left="660" w:right="520" w:hanging="328"/>
        <w:spacing w:after="0" w:line="282"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the transaction which resulted in the stockholder becoming an interested stockholder;</w:t>
      </w:r>
    </w:p>
    <w:p>
      <w:pPr>
        <w:spacing w:after="0" w:line="107"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29"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and not by written consent, by the affirmative vote of at least 2/3 of the outstanding voting stock which is not owned by the interested stockholder.</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of BuzzFeed’s outstanding voting stock. For purposes of this section only, “voting stock” has the meaning given to it in Section 203 of the DGCL.</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provision will make it more difficult for a person who would be an “interested stockholder” to effect various business combinations with BuzzFeed for a three-year period. This provision may encourage companies interested in acquiring BuzzFeed to negotiate in advance with the Board because the 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17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charter specifically authorizes cumulative voting. The Certificate of Incorporation does not authorize cumulative voting.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contains provisions that limit the liability of our directors for monetary damages to the fullest extent permitted by the Delaware General Corporation Law (the “DGCL”). Consequently, our directors are not personally liable to us or our stockholders for monetary damages for any breach of fiduciary duties as directors, except liability for:</w:t>
      </w:r>
    </w:p>
    <w:p>
      <w:pPr>
        <w:spacing w:after="0" w:line="122"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unlawful payments of dividends or unlawful stock repurchases or redemptions as provided in Section 174 of the DGCL; or</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Bylaws provide that we must indemnify and advance expenses to our directors and officers to the fullest extent authorized by the DGCL. We are also expressly authorized to carry directors’ and officers’ liability insurance providing indemnification for our directors, officers, and certain employees for some liabilities.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entered, and intend to continue to enter, into separate indemnification agreements with our directors, officers, and certain of our key employees, in addition to the indemnification provided for in the Certificate of Incorporation and the Bylaws. These agreements, among other things, require us to indemnify our directors, officers, and key employees for certain expenses, including attorneys’ fees, judgments, penalties, fines, and settlement amounts actually incurred by any of these individuals in any action or proceeding arising out of their service to us or any of our subsidiaries or any other company or enterprise to which such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3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believe that provisions of the Certificate of Incorporation, the Bylaws and indemnification agreements are necessary to attract and retain qualified directors, officers and key employees. We also maintain directors’ and officers’ liability insurance.</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limitation of liability, advancement of expenses, and indemnification provisions in the Certificate of Incorporation and the Bylaws or in these indemnification agreements may discourage stockholders from bringing lawsuits against our directors and officers for breach of their fiduciary duty. These provisions also may have the effect of reducing the likelihood of derivative litigation against our directors and officers, even though such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or executive officers, we have been informed that, in the opinion of the SEC, such indemnification is against public policy as expressed in the Securities Act and is therefore unenforceable.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BuzzFeed’s stockholders have appraisal rights in connection with a merger or consolidation of BuzzFeed.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DGCL, any of BuzzFeed’s stockholders may bring an action in BuzzFeed’s name to procure a judgment in BuzzFeed’s favor, also known as a derivative action, provided that the stockholder bringing the action is a holder of shares of common stock at the time of the transaction to which the action relates or such stockholder’s stock thereafter devolved by operation of law.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capital stock is Continental Stock Transfer &amp; Trust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 “BZFD” and “BZFDW,”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1440" w:right="479" w:bottom="1440" w:gutter="0" w:footer="0" w:header="0"/>
        </w:sectPr>
      </w:pPr>
    </w:p>
    <w:bookmarkStart w:id="32" w:name="page33"/>
    <w:bookmarkEnd w:id="3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Securityholders may offer and sell, from time to time, any or all of the shares of our Class A common stock (including upon conversion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common stock) or Warrants being offered for resale by this prospectus, which consists of:</w:t>
      </w:r>
    </w:p>
    <w:p>
      <w:pPr>
        <w:spacing w:after="0" w:line="15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2,435,551 Founder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15,637,500 shares of Class A common stock underlying the Notes;</w:t>
      </w:r>
    </w:p>
    <w:p>
      <w:pPr>
        <w:spacing w:after="0" w:line="17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91,618,223 shares of Class A common stock issued or issuable to the BuzzFeed equity holders in connection with or as a result of the consummation of the Business Combination, consisting of:</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88,783,629 shares of Class A common stock (the “BuzzFeed Holder Shares”); and</w:t>
      </w:r>
    </w:p>
    <w:p>
      <w:pPr>
        <w:spacing w:after="0" w:line="17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2,834,594 shares of Class A common stock issued or issuable upon the exercise of certain stock option or restricted stock unit awards (“BuzzFeed Equity Award Shares”);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160,900 Private Placement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9,583,333 shares of Class A common stock issuable upon the exercise of the Public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292,500 shares of Class A common stock issuable upon the exercise of the Private Placement Warrants and Working Capital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64,999 Private Placement Warrants;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33,333 Working Capital Warrants.</w:t>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term </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 xml:space="preserve"> includes the securityholders listed in the tables below and their permitted transferees, including, but not limited to, pledgees, donees, transferees, assignees, or other successors-in-interest, and others who later come to hold any of the Selling Securityholders’ interest in the shares of our Class A common stock or Warrants in accordance with the terms of the applicable agreements governing their respective registration rights, other than through public sale.</w:t>
      </w:r>
    </w:p>
    <w:p>
      <w:pPr>
        <w:spacing w:after="0" w:line="1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tables set forth, based on written representations from the Selling Securityholders, certain information as of February 28, 2023 regarding the beneficial ownership of our common stock and Warrants by the Selling Securityholders and the shares of our Class A common stock (including upon conversion of Class B common stock and Class C common stock) and Warrants being offered by the Selling Securityholders. Information with respect to shares of common stock and number of Warrants owned beneficially after the offering assumes the sale of all of the shares of our Class A common stock (including upon conversion of Class B common stock and Class C common stock) and Warrants registered hereby.</w:t>
      </w:r>
    </w:p>
    <w:p>
      <w:pPr>
        <w:spacing w:after="0" w:line="13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noted above and below, on March 15, 2023, all of the Class C common stock was converted into Class A common stock, which resulted in the issuance of an additional 6,478,031 shares of Class A common stock.</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Because each Selling Securityholder may dispose of all, none or some portion of their shares of common stock or Warrants, no estimate can be given as to the number of shares of common stock or Warrants that will be beneficially owned by a Selling Securityholder upon termination of this offering. For purposes of the tables below, however, we have assumed that, after termination of this offering, none of the shares of Class A common stock or Warrants covered by this prospectus will be beneficially owned by the Selling Securityholders and further assumed that the Selling Securityholders will not acquire beneficial ownership of any additional shares of common stock or Warrants during the offering. In addition, the Selling Securityholders may have sold, transferred or otherwise disposed of, or may sell, transfer or otherwise dispose of, at any time and from time to time, shares of our common stock and Warrants in transactions exempt from the registration requirements of the Securities Act after the date on which the information in the tables is presented. The Selling Securityholders have not, nor have they within the past three years had, any position, office, or other material relationship with us, other than as disclosed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in the future to update or change this Selling Securityholders list and the securities that may be resold. Certain amounts that appear in this section may not sum due to rounding.</w:t>
      </w:r>
    </w:p>
    <w:p>
      <w:pPr>
        <w:spacing w:after="0" w:line="106"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Please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Selling Securityholders’ method of distributing these shares and Warrants.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5"/>
          </w:tcPr>
          <w:p>
            <w:pPr>
              <w:jc w:val="center"/>
              <w:ind w:left="86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30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4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26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vMerge w:val="continue"/>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9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5"/>
            <w:vMerge w:val="continue"/>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1"/>
                <w:szCs w:val="11"/>
                <w:color w:val="auto"/>
              </w:rPr>
            </w:pPr>
          </w:p>
        </w:tc>
        <w:tc>
          <w:tcPr>
            <w:tcW w:w="1440" w:type="dxa"/>
            <w:vAlign w:val="bottom"/>
            <w:gridSpan w:val="3"/>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Class B</w:t>
            </w:r>
          </w:p>
        </w:tc>
        <w:tc>
          <w:tcPr>
            <w:tcW w:w="980" w:type="dxa"/>
            <w:vAlign w:val="bottom"/>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Class C</w:t>
            </w:r>
          </w:p>
        </w:tc>
        <w:tc>
          <w:tcPr>
            <w:tcW w:w="100" w:type="dxa"/>
            <w:vAlign w:val="bottom"/>
          </w:tcPr>
          <w:p>
            <w:pPr>
              <w:spacing w:after="0"/>
              <w:rPr>
                <w:sz w:val="11"/>
                <w:szCs w:val="11"/>
                <w:color w:val="auto"/>
              </w:rPr>
            </w:pPr>
          </w:p>
        </w:tc>
        <w:tc>
          <w:tcPr>
            <w:tcW w:w="17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Registered for</w:t>
            </w: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Class 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Class B</w:t>
            </w:r>
          </w:p>
        </w:tc>
        <w:tc>
          <w:tcPr>
            <w:tcW w:w="840" w:type="dxa"/>
            <w:vAlign w:val="bottom"/>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Class C</w:t>
            </w:r>
          </w:p>
        </w:tc>
        <w:tc>
          <w:tcPr>
            <w:tcW w:w="0" w:type="dxa"/>
            <w:vAlign w:val="bottom"/>
          </w:tcPr>
          <w:p>
            <w:pPr>
              <w:spacing w:after="0"/>
              <w:rPr>
                <w:sz w:val="1"/>
                <w:szCs w:val="1"/>
                <w:color w:val="auto"/>
              </w:rPr>
            </w:pPr>
          </w:p>
        </w:tc>
      </w:tr>
      <w:tr>
        <w:trPr>
          <w:trHeight w:val="146"/>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1440" w:type="dxa"/>
            <w:vAlign w:val="bottom"/>
            <w:gridSpan w:val="3"/>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Sale in this</w:t>
            </w: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37"/>
        </w:trPr>
        <w:tc>
          <w:tcPr>
            <w:tcW w:w="2700" w:type="dxa"/>
            <w:vAlign w:val="bottom"/>
            <w:gridSpan w:val="2"/>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200 Park Avenue Partners, LLC</w:t>
            </w:r>
            <w:r>
              <w:rPr>
                <w:rFonts w:ascii="Times New Roman" w:cs="Times New Roman" w:eastAsia="Times New Roman" w:hAnsi="Times New Roman"/>
                <w:sz w:val="21"/>
                <w:szCs w:val="21"/>
                <w:color w:val="auto"/>
                <w:vertAlign w:val="superscript"/>
              </w:rPr>
              <w:t>(2)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619,505</w:t>
            </w:r>
          </w:p>
        </w:tc>
        <w:tc>
          <w:tcPr>
            <w:tcW w:w="10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619,505</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Entities Affiliated with Cohanzick</w:t>
            </w:r>
            <w:r>
              <w:rPr>
                <w:rFonts w:ascii="Times New Roman" w:cs="Times New Roman" w:eastAsia="Times New Roman" w:hAnsi="Times New Roman"/>
                <w:sz w:val="21"/>
                <w:szCs w:val="21"/>
                <w:color w:val="auto"/>
                <w:vertAlign w:val="superscript"/>
              </w:rPr>
              <w:t>(3)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3,205,688</w:t>
            </w:r>
          </w:p>
        </w:tc>
        <w:tc>
          <w:tcPr>
            <w:tcW w:w="100" w:type="dxa"/>
            <w:vAlign w:val="bottom"/>
          </w:tcPr>
          <w:p>
            <w:pPr>
              <w:spacing w:after="0"/>
              <w:rPr>
                <w:sz w:val="21"/>
                <w:szCs w:val="21"/>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3,205,688</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Craig-Hallum Capital Group LLC</w:t>
            </w:r>
            <w:r>
              <w:rPr>
                <w:rFonts w:ascii="Times New Roman" w:cs="Times New Roman" w:eastAsia="Times New Roman" w:hAnsi="Times New Roman"/>
                <w:sz w:val="21"/>
                <w:szCs w:val="21"/>
                <w:color w:val="auto"/>
                <w:vertAlign w:val="superscript"/>
              </w:rPr>
              <w:t>(4)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6,000</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Atlantic BF, L.P.</w:t>
            </w:r>
            <w:r>
              <w:rPr>
                <w:rFonts w:ascii="Times New Roman" w:cs="Times New Roman" w:eastAsia="Times New Roman" w:hAnsi="Times New Roman"/>
                <w:sz w:val="21"/>
                <w:szCs w:val="21"/>
                <w:color w:val="auto"/>
                <w:vertAlign w:val="superscript"/>
              </w:rPr>
              <w:t>(5)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7,862,502</w:t>
            </w:r>
          </w:p>
        </w:tc>
        <w:tc>
          <w:tcPr>
            <w:tcW w:w="100" w:type="dxa"/>
            <w:vAlign w:val="bottom"/>
          </w:tcPr>
          <w:p>
            <w:pPr>
              <w:spacing w:after="0"/>
              <w:rPr>
                <w:sz w:val="21"/>
                <w:szCs w:val="21"/>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7,862,502</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Entities Affiliated with Hearst</w:t>
            </w:r>
            <w:r>
              <w:rPr>
                <w:rFonts w:ascii="Times New Roman" w:cs="Times New Roman" w:eastAsia="Times New Roman" w:hAnsi="Times New Roman"/>
                <w:sz w:val="21"/>
                <w:szCs w:val="21"/>
                <w:color w:val="auto"/>
                <w:vertAlign w:val="superscript"/>
              </w:rPr>
              <w:t>(6)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11,494,795</w:t>
            </w:r>
          </w:p>
        </w:tc>
        <w:tc>
          <w:tcPr>
            <w:tcW w:w="1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11,494,795</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NBCUniversal Media, LLC</w:t>
            </w:r>
            <w:r>
              <w:rPr>
                <w:rFonts w:ascii="Times New Roman" w:cs="Times New Roman" w:eastAsia="Times New Roman" w:hAnsi="Times New Roman"/>
                <w:sz w:val="21"/>
                <w:szCs w:val="21"/>
                <w:color w:val="auto"/>
                <w:vertAlign w:val="superscript"/>
              </w:rPr>
              <w:t>(7)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19,507,693</w:t>
            </w:r>
          </w:p>
        </w:tc>
        <w:tc>
          <w:tcPr>
            <w:tcW w:w="100" w:type="dxa"/>
            <w:vAlign w:val="bottom"/>
          </w:tcPr>
          <w:p>
            <w:pPr>
              <w:spacing w:after="0"/>
              <w:rPr>
                <w:sz w:val="21"/>
                <w:szCs w:val="21"/>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19,507,693</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Enterprise Associates 13, Limited</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Partnership</w:t>
            </w:r>
            <w:r>
              <w:rPr>
                <w:rFonts w:ascii="Times New Roman" w:cs="Times New Roman" w:eastAsia="Times New Roman" w:hAnsi="Times New Roman"/>
                <w:sz w:val="21"/>
                <w:szCs w:val="21"/>
                <w:color w:val="auto"/>
                <w:vertAlign w:val="superscript"/>
              </w:rPr>
              <w:t>(8)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15,333,892</w:t>
            </w:r>
          </w:p>
        </w:tc>
        <w:tc>
          <w:tcPr>
            <w:tcW w:w="1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15,333,892</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Entities Affiliated with Redwood</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Capital Management, LLC</w:t>
            </w:r>
            <w:r>
              <w:rPr>
                <w:rFonts w:ascii="Times New Roman" w:cs="Times New Roman" w:eastAsia="Times New Roman" w:hAnsi="Times New Roman"/>
                <w:sz w:val="21"/>
                <w:szCs w:val="21"/>
                <w:color w:val="auto"/>
                <w:vertAlign w:val="superscript"/>
              </w:rPr>
              <w:t>(9)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9,903,750</w:t>
            </w:r>
          </w:p>
        </w:tc>
        <w:tc>
          <w:tcPr>
            <w:tcW w:w="100" w:type="dxa"/>
            <w:vAlign w:val="bottom"/>
          </w:tcPr>
          <w:p>
            <w:pPr>
              <w:spacing w:after="0"/>
              <w:rPr>
                <w:sz w:val="21"/>
                <w:szCs w:val="21"/>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9,903,750</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Entities Affiliated with RRE</w:t>
            </w:r>
            <w:r>
              <w:rPr>
                <w:rFonts w:ascii="Times New Roman" w:cs="Times New Roman" w:eastAsia="Times New Roman" w:hAnsi="Times New Roman"/>
                <w:sz w:val="21"/>
                <w:szCs w:val="21"/>
                <w:color w:val="auto"/>
                <w:vertAlign w:val="superscript"/>
              </w:rPr>
              <w:t>(10)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10,350,407</w:t>
            </w:r>
          </w:p>
        </w:tc>
        <w:tc>
          <w:tcPr>
            <w:tcW w:w="1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10,350,407</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Entities Affiliated with Silver Rock</w:t>
            </w:r>
            <w:r>
              <w:rPr>
                <w:rFonts w:ascii="Times New Roman" w:cs="Times New Roman" w:eastAsia="Times New Roman" w:hAnsi="Times New Roman"/>
                <w:sz w:val="21"/>
                <w:szCs w:val="21"/>
                <w:color w:val="auto"/>
                <w:vertAlign w:val="superscript"/>
              </w:rPr>
              <w:t>(11)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2,137,127</w:t>
            </w:r>
          </w:p>
        </w:tc>
        <w:tc>
          <w:tcPr>
            <w:tcW w:w="100" w:type="dxa"/>
            <w:vAlign w:val="bottom"/>
          </w:tcPr>
          <w:p>
            <w:pPr>
              <w:spacing w:after="0"/>
              <w:rPr>
                <w:sz w:val="21"/>
                <w:szCs w:val="21"/>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2,137,127</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Entities Affiliated with Verizon</w:t>
            </w:r>
            <w:r>
              <w:rPr>
                <w:rFonts w:ascii="Times New Roman" w:cs="Times New Roman" w:eastAsia="Times New Roman" w:hAnsi="Times New Roman"/>
                <w:sz w:val="21"/>
                <w:szCs w:val="21"/>
                <w:color w:val="auto"/>
                <w:vertAlign w:val="superscript"/>
              </w:rPr>
              <w:t>(12)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3"/>
              </w:rPr>
              <w:t>6,478,031</w:t>
            </w:r>
            <w:r>
              <w:rPr>
                <w:rFonts w:ascii="Times New Roman" w:cs="Times New Roman" w:eastAsia="Times New Roman" w:hAnsi="Times New Roman"/>
                <w:sz w:val="21"/>
                <w:szCs w:val="21"/>
                <w:color w:val="auto"/>
                <w:w w:val="93"/>
                <w:vertAlign w:val="superscript"/>
              </w:rPr>
              <w:t>(12)</w:t>
            </w:r>
          </w:p>
        </w:tc>
        <w:tc>
          <w:tcPr>
            <w:tcW w:w="1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11,478,031</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Joan Amble</w:t>
            </w:r>
            <w:r>
              <w:rPr>
                <w:rFonts w:ascii="Times New Roman" w:cs="Times New Roman" w:eastAsia="Times New Roman" w:hAnsi="Times New Roman"/>
                <w:sz w:val="21"/>
                <w:szCs w:val="21"/>
                <w:color w:val="auto"/>
                <w:vertAlign w:val="superscript"/>
              </w:rPr>
              <w:t>(13)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57,541</w:t>
            </w:r>
          </w:p>
        </w:tc>
        <w:tc>
          <w:tcPr>
            <w:tcW w:w="100" w:type="dxa"/>
            <w:vAlign w:val="bottom"/>
          </w:tcPr>
          <w:p>
            <w:pPr>
              <w:spacing w:after="0"/>
              <w:rPr>
                <w:sz w:val="21"/>
                <w:szCs w:val="21"/>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55,143</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Greg Coleman</w:t>
            </w:r>
            <w:r>
              <w:rPr>
                <w:rFonts w:ascii="Times New Roman" w:cs="Times New Roman" w:eastAsia="Times New Roman" w:hAnsi="Times New Roman"/>
                <w:sz w:val="21"/>
                <w:szCs w:val="21"/>
                <w:color w:val="auto"/>
                <w:vertAlign w:val="superscript"/>
              </w:rPr>
              <w:t>(14)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2,685,009</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2,514,086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Felicia DellaFortuna</w:t>
            </w:r>
            <w:r>
              <w:rPr>
                <w:rFonts w:ascii="Times New Roman" w:cs="Times New Roman" w:eastAsia="Times New Roman" w:hAnsi="Times New Roman"/>
                <w:sz w:val="21"/>
                <w:szCs w:val="21"/>
                <w:color w:val="auto"/>
                <w:vertAlign w:val="superscript"/>
              </w:rPr>
              <w:t>(15)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459,373</w:t>
            </w:r>
          </w:p>
        </w:tc>
        <w:tc>
          <w:tcPr>
            <w:tcW w:w="100" w:type="dxa"/>
            <w:vAlign w:val="bottom"/>
          </w:tcPr>
          <w:p>
            <w:pPr>
              <w:spacing w:after="0"/>
              <w:rPr>
                <w:sz w:val="18"/>
                <w:szCs w:val="18"/>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387,432</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71,941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Scott Flanders</w:t>
            </w:r>
            <w:r>
              <w:rPr>
                <w:rFonts w:ascii="Times New Roman" w:cs="Times New Roman" w:eastAsia="Times New Roman" w:hAnsi="Times New Roman"/>
                <w:sz w:val="21"/>
                <w:szCs w:val="21"/>
                <w:color w:val="auto"/>
                <w:vertAlign w:val="superscript"/>
              </w:rPr>
              <w:t>(16)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999,023</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999,023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Jon Jashni, Trustee of The Jashni</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Family Trust dated 11/19/09</w:t>
            </w:r>
            <w:r>
              <w:rPr>
                <w:rFonts w:ascii="Times New Roman" w:cs="Times New Roman" w:eastAsia="Times New Roman" w:hAnsi="Times New Roman"/>
                <w:sz w:val="21"/>
                <w:szCs w:val="21"/>
                <w:color w:val="auto"/>
                <w:vertAlign w:val="superscript"/>
              </w:rPr>
              <w:t>(17)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21"/>
                <w:szCs w:val="21"/>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John Johnson III</w:t>
            </w:r>
            <w:r>
              <w:rPr>
                <w:rFonts w:ascii="Times New Roman" w:cs="Times New Roman" w:eastAsia="Times New Roman" w:hAnsi="Times New Roman"/>
                <w:sz w:val="21"/>
                <w:szCs w:val="21"/>
                <w:color w:val="auto"/>
                <w:vertAlign w:val="superscript"/>
              </w:rPr>
              <w:t>(18)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5,582,414</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5,582,414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Patrick Kerins</w:t>
            </w:r>
            <w:r>
              <w:rPr>
                <w:rFonts w:ascii="Times New Roman" w:cs="Times New Roman" w:eastAsia="Times New Roman" w:hAnsi="Times New Roman"/>
                <w:sz w:val="21"/>
                <w:szCs w:val="21"/>
                <w:color w:val="auto"/>
                <w:vertAlign w:val="superscript"/>
              </w:rPr>
              <w:t>(19)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15,440,606</w:t>
            </w:r>
          </w:p>
        </w:tc>
        <w:tc>
          <w:tcPr>
            <w:tcW w:w="100" w:type="dxa"/>
            <w:vAlign w:val="bottom"/>
          </w:tcPr>
          <w:p>
            <w:pPr>
              <w:spacing w:after="0"/>
              <w:rPr>
                <w:sz w:val="18"/>
                <w:szCs w:val="18"/>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15,333,892</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106,714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John Lipman</w:t>
            </w:r>
            <w:r>
              <w:rPr>
                <w:rFonts w:ascii="Times New Roman" w:cs="Times New Roman" w:eastAsia="Times New Roman" w:hAnsi="Times New Roman"/>
                <w:sz w:val="21"/>
                <w:szCs w:val="21"/>
                <w:color w:val="auto"/>
                <w:vertAlign w:val="superscript"/>
              </w:rPr>
              <w:t>(20)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6,000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Phuong Dao Nguyen</w:t>
            </w:r>
            <w:r>
              <w:rPr>
                <w:rFonts w:ascii="Times New Roman" w:cs="Times New Roman" w:eastAsia="Times New Roman" w:hAnsi="Times New Roman"/>
                <w:sz w:val="21"/>
                <w:szCs w:val="21"/>
                <w:color w:val="auto"/>
                <w:vertAlign w:val="superscript"/>
              </w:rPr>
              <w:t>(21)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581,418</w:t>
            </w:r>
          </w:p>
        </w:tc>
        <w:tc>
          <w:tcPr>
            <w:tcW w:w="100" w:type="dxa"/>
            <w:vAlign w:val="bottom"/>
          </w:tcPr>
          <w:p>
            <w:pPr>
              <w:spacing w:after="0"/>
              <w:rPr>
                <w:sz w:val="18"/>
                <w:szCs w:val="18"/>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553,441</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Jonah Peretti</w:t>
            </w:r>
            <w:r>
              <w:rPr>
                <w:rFonts w:ascii="Times New Roman" w:cs="Times New Roman" w:eastAsia="Times New Roman" w:hAnsi="Times New Roman"/>
                <w:sz w:val="21"/>
                <w:szCs w:val="21"/>
                <w:color w:val="auto"/>
                <w:vertAlign w:val="superscript"/>
              </w:rPr>
              <w:t>(22)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5,582,414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6,437,416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12,019,830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Rhonda Powell</w:t>
            </w:r>
            <w:r>
              <w:rPr>
                <w:rFonts w:ascii="Times New Roman" w:cs="Times New Roman" w:eastAsia="Times New Roman" w:hAnsi="Times New Roman"/>
                <w:sz w:val="21"/>
                <w:szCs w:val="21"/>
                <w:color w:val="auto"/>
                <w:vertAlign w:val="superscript"/>
              </w:rPr>
              <w:t>(23)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136,624</w:t>
            </w:r>
          </w:p>
        </w:tc>
        <w:tc>
          <w:tcPr>
            <w:tcW w:w="100" w:type="dxa"/>
            <w:vAlign w:val="bottom"/>
          </w:tcPr>
          <w:p>
            <w:pPr>
              <w:spacing w:after="0"/>
              <w:rPr>
                <w:sz w:val="18"/>
                <w:szCs w:val="18"/>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136,624</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Janet Rollé</w:t>
            </w:r>
            <w:r>
              <w:rPr>
                <w:rFonts w:ascii="Times New Roman" w:cs="Times New Roman" w:eastAsia="Times New Roman" w:hAnsi="Times New Roman"/>
                <w:sz w:val="21"/>
                <w:szCs w:val="21"/>
                <w:color w:val="auto"/>
                <w:vertAlign w:val="superscript"/>
              </w:rPr>
              <w:t>(24)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191,032</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107,100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Kelli Turner</w:t>
            </w:r>
            <w:r>
              <w:rPr>
                <w:rFonts w:ascii="Times New Roman" w:cs="Times New Roman" w:eastAsia="Times New Roman" w:hAnsi="Times New Roman"/>
                <w:sz w:val="21"/>
                <w:szCs w:val="21"/>
                <w:color w:val="auto"/>
                <w:vertAlign w:val="superscript"/>
              </w:rPr>
              <w:t>(25)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Pr>
          <w:p>
            <w:pPr>
              <w:spacing w:after="0"/>
              <w:rPr>
                <w:sz w:val="18"/>
                <w:szCs w:val="18"/>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Linda Yaccarino</w:t>
            </w:r>
            <w:r>
              <w:rPr>
                <w:rFonts w:ascii="Times New Roman" w:cs="Times New Roman" w:eastAsia="Times New Roman" w:hAnsi="Times New Roman"/>
                <w:sz w:val="21"/>
                <w:szCs w:val="21"/>
                <w:color w:val="auto"/>
                <w:vertAlign w:val="superscript"/>
              </w:rPr>
              <w:t>(26)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A Series Investments, LLC</w:t>
            </w:r>
            <w:r>
              <w:rPr>
                <w:rFonts w:ascii="Times New Roman" w:cs="Times New Roman" w:eastAsia="Times New Roman" w:hAnsi="Times New Roman"/>
                <w:sz w:val="21"/>
                <w:szCs w:val="21"/>
                <w:color w:val="auto"/>
                <w:vertAlign w:val="superscript"/>
              </w:rPr>
              <w:t>(27)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86,182</w:t>
            </w:r>
          </w:p>
        </w:tc>
        <w:tc>
          <w:tcPr>
            <w:tcW w:w="100" w:type="dxa"/>
            <w:vAlign w:val="bottom"/>
          </w:tcPr>
          <w:p>
            <w:pPr>
              <w:spacing w:after="0"/>
              <w:rPr>
                <w:sz w:val="18"/>
                <w:szCs w:val="18"/>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2,250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Adam Rothstein</w:t>
            </w:r>
            <w:r>
              <w:rPr>
                <w:rFonts w:ascii="Times New Roman" w:cs="Times New Roman" w:eastAsia="Times New Roman" w:hAnsi="Times New Roman"/>
                <w:sz w:val="21"/>
                <w:szCs w:val="21"/>
                <w:color w:val="auto"/>
                <w:vertAlign w:val="superscript"/>
              </w:rPr>
              <w:t>(28)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1,679,476</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1.433,757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245,719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0" w:type="dxa"/>
            <w:vAlign w:val="bottom"/>
          </w:tcPr>
          <w:p>
            <w:pPr>
              <w:spacing w:after="0"/>
              <w:rPr>
                <w:sz w:val="1"/>
                <w:szCs w:val="1"/>
                <w:color w:val="auto"/>
              </w:rPr>
            </w:pPr>
          </w:p>
        </w:tc>
      </w:tr>
      <w:tr>
        <w:trPr>
          <w:trHeight w:val="146"/>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 Held Prior</w:t>
            </w:r>
          </w:p>
        </w:tc>
        <w:tc>
          <w:tcPr>
            <w:tcW w:w="166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8"/>
        </w:trPr>
        <w:tc>
          <w:tcPr>
            <w:tcW w:w="6360" w:type="dxa"/>
            <w:vAlign w:val="bottom"/>
            <w:gridSpan w:val="2"/>
            <w:vMerge w:val="restart"/>
          </w:tcPr>
          <w:p>
            <w:pPr>
              <w:ind w:left="29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 this</w:t>
            </w: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Registered for Sale</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this</w:t>
            </w:r>
          </w:p>
        </w:tc>
        <w:tc>
          <w:tcPr>
            <w:tcW w:w="0" w:type="dxa"/>
            <w:vAlign w:val="bottom"/>
          </w:tcPr>
          <w:p>
            <w:pPr>
              <w:spacing w:after="0"/>
              <w:rPr>
                <w:sz w:val="1"/>
                <w:szCs w:val="1"/>
                <w:color w:val="auto"/>
              </w:rPr>
            </w:pPr>
          </w:p>
        </w:tc>
      </w:tr>
      <w:tr>
        <w:trPr>
          <w:trHeight w:val="196"/>
        </w:trPr>
        <w:tc>
          <w:tcPr>
            <w:tcW w:w="6360" w:type="dxa"/>
            <w:vAlign w:val="bottom"/>
            <w:gridSpan w:val="2"/>
            <w:vMerge w:val="continue"/>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Hereby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16"/>
        </w:trPr>
        <w:tc>
          <w:tcPr>
            <w:tcW w:w="6260" w:type="dxa"/>
            <w:vAlign w:val="bottom"/>
            <w:tcBorders>
              <w:top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Craig-Hallum Capital Group LLC</w:t>
            </w:r>
            <w:r>
              <w:rPr>
                <w:rFonts w:ascii="Times New Roman" w:cs="Times New Roman" w:eastAsia="Times New Roman" w:hAnsi="Times New Roman"/>
                <w:sz w:val="21"/>
                <w:szCs w:val="21"/>
                <w:color w:val="auto"/>
                <w:vertAlign w:val="superscript"/>
              </w:rPr>
              <w:t>(4)</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Greg Coleman</w:t>
            </w:r>
            <w:r>
              <w:rPr>
                <w:rFonts w:ascii="Times New Roman" w:cs="Times New Roman" w:eastAsia="Times New Roman" w:hAnsi="Times New Roman"/>
                <w:sz w:val="21"/>
                <w:szCs w:val="21"/>
                <w:color w:val="auto"/>
                <w:vertAlign w:val="superscript"/>
              </w:rPr>
              <w:t>(14)</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7,667</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7,667</w:t>
            </w:r>
          </w:p>
        </w:tc>
        <w:tc>
          <w:tcPr>
            <w:tcW w:w="100" w:type="dxa"/>
            <w:vAlign w:val="bottom"/>
          </w:tcPr>
          <w:p>
            <w:pPr>
              <w:spacing w:after="0"/>
              <w:rPr>
                <w:sz w:val="18"/>
                <w:szCs w:val="18"/>
                <w:color w:val="auto"/>
              </w:rPr>
            </w:pPr>
          </w:p>
        </w:tc>
        <w:tc>
          <w:tcPr>
            <w:tcW w:w="1560" w:type="dxa"/>
            <w:vAlign w:val="bottom"/>
          </w:tcPr>
          <w:p>
            <w:pPr>
              <w:ind w:left="138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Scott Flanders</w:t>
            </w:r>
            <w:r>
              <w:rPr>
                <w:rFonts w:ascii="Times New Roman" w:cs="Times New Roman" w:eastAsia="Times New Roman" w:hAnsi="Times New Roman"/>
                <w:sz w:val="21"/>
                <w:szCs w:val="21"/>
                <w:color w:val="auto"/>
                <w:vertAlign w:val="superscript"/>
              </w:rPr>
              <w:t>(16)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John Lipman</w:t>
            </w:r>
            <w:r>
              <w:rPr>
                <w:rFonts w:ascii="Times New Roman" w:cs="Times New Roman" w:eastAsia="Times New Roman" w:hAnsi="Times New Roman"/>
                <w:sz w:val="21"/>
                <w:szCs w:val="21"/>
                <w:color w:val="auto"/>
                <w:vertAlign w:val="superscript"/>
              </w:rPr>
              <w:t>(20)</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Adam Rothstein</w:t>
            </w:r>
            <w:r>
              <w:rPr>
                <w:rFonts w:ascii="Times New Roman" w:cs="Times New Roman" w:eastAsia="Times New Roman" w:hAnsi="Times New Roman"/>
                <w:sz w:val="21"/>
                <w:szCs w:val="21"/>
                <w:color w:val="auto"/>
                <w:vertAlign w:val="superscript"/>
              </w:rPr>
              <w:t>(28)</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mailing address of each of those listed in the table above is c/o BuzzFeed, Inc., 229 West 43rd Street, 10</w:t>
      </w:r>
      <w:r>
        <w:rPr>
          <w:rFonts w:ascii="Times New Roman" w:cs="Times New Roman" w:eastAsia="Times New Roman" w:hAnsi="Times New Roman"/>
          <w:sz w:val="9"/>
          <w:szCs w:val="9"/>
          <w:color w:val="auto"/>
        </w:rPr>
        <w:t>th</w:t>
      </w:r>
      <w:r>
        <w:rPr>
          <w:rFonts w:ascii="Times New Roman" w:cs="Times New Roman" w:eastAsia="Times New Roman" w:hAnsi="Times New Roman"/>
          <w:sz w:val="14"/>
          <w:szCs w:val="14"/>
          <w:color w:val="auto"/>
        </w:rPr>
        <w:t xml:space="preserve"> Floor, New York, NY 10036.</w:t>
      </w:r>
    </w:p>
    <w:p>
      <w:pPr>
        <w:spacing w:after="0" w:line="52" w:lineRule="exact"/>
        <w:rPr>
          <w:rFonts w:ascii="Times New Roman" w:cs="Times New Roman" w:eastAsia="Times New Roman" w:hAnsi="Times New Roman"/>
          <w:sz w:val="14"/>
          <w:szCs w:val="14"/>
          <w:color w:val="auto"/>
        </w:rPr>
      </w:pPr>
    </w:p>
    <w:p>
      <w:pPr>
        <w:ind w:left="340" w:right="60" w:hanging="332"/>
        <w:spacing w:after="0" w:line="266"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first table, shares registered for sale hereby consist of 619,505 Founder Shares. The Sponsor is controlled by Scott Flanders, as manager, and therefore Mr. Flanders has voting and dispositive power over the Founder Shares held by the Sponsor and may be deemed to beneficially own such shares. The Voting Agreement provides that the Voting Agreement Parties, which includes Jonah Peretti and certain of his affiliates, will vote all shares of common stock beneficially held by such Voting Agreement Parties in favor of the election to the Board of certain individuals designated by the Sponsor and, as a result, the Sponsor is deemed to share beneficial ownership of Jonah Peretti’s shares of common stock. The mailing address of the Sponsor is P.O. Box 7859, Avon, CO 81620.</w:t>
      </w:r>
    </w:p>
    <w:p>
      <w:pPr>
        <w:spacing w:after="0" w:line="25"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(i) 62,550 shares of our Class A common stock issuable upon conversion of $600,000 principal amount of the Notes purchased by Cohanzick Absolute Return Master Fund, Ltd.; (ii) 719,325 shares of our Class A common stock issuable upon conversion of $6,900,000 principal amount of the Notes purchased by CrossingBridge Low Duration High Yield Fund; (iii) 964,313 shares of our Class A common stock issuable upon conversion of $9,250,000 principal amount of the Notes purchased by Destinations Global Fixed Income Opportunities Fund; (iv) 896,550 shares of our Class A common stock issuable upon conversion of $8,600,000 principal amount of the Notes purchased by Destinations Low Duration Fixed Income Fund; and (v) 562,950 shares of our Class A common stock issuable upon conversion of $5,400,000 principal amount of the Notes purchased by RiverPark Strategic Income Fund. Share amounts represent the maximum conversion rate of 100 shares of Class A common stock per $1,000 principal amount of the Notes, which is equivalent to a conversion price of approximately $10.00 per share, plus any accrued and unpaid interest which may be payable to the holder of Notes. Cohanzick Management, LLC is the investment adviser to RiverPark Strategic Income Fund, OU2 LLC. CrossingBridge Advisors, LLC, a wholly owned subsidiary of Cohanzick Management, LLC, is the investment adviser to CrossingBridge Low Duration High Yield Fund, Destinations Low Duration Fixed Income Fund and Destinations Global Fixed Income Opportunities Fund. Cohanzick Offshore Advisors, LP is the investment adviser to Cohanzick Absolute Return Master Fund, Ltd. David K. Sherman controls a majority of the limited partnership interest in Cohanzick Offshore Advisors, L.P. and is the Managing Member of Cohanzick Management, LLC. The address for Cohanzick, CrossingBridge and Cohanzick Offshore Advisors, L.P. is 427 Bedford Road Suite 230, Pleasantville, NY 10570.</w:t>
      </w:r>
    </w:p>
    <w:p>
      <w:pPr>
        <w:spacing w:after="0" w:line="31" w:lineRule="exact"/>
        <w:rPr>
          <w:rFonts w:ascii="Times New Roman" w:cs="Times New Roman" w:eastAsia="Times New Roman" w:hAnsi="Times New Roman"/>
          <w:sz w:val="14"/>
          <w:szCs w:val="14"/>
          <w:color w:val="auto"/>
        </w:rPr>
      </w:pPr>
    </w:p>
    <w:p>
      <w:pPr>
        <w:ind w:left="340" w:right="40" w:hanging="332"/>
        <w:spacing w:after="0" w:line="265"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first table, shares registered for sale hereby consist of 6,000 shares of our Class A common stock issuable upon exercise of the Private Placement Warrants. For purposes of the second table, Warrants for sale hereby consist of 6,000 Private Placement Warrants. The first table assumes the exercise in full of the Private Placement Warrants held by Craig-Hallum, and the second table assumes no exercise of the Private Placement Warrants held by Craig Hallum. Pursuant to the Share Purchase Agreement, the Company agreed to sell and Craig-Hallum agreed to subscribe for 58,781 shares of our Class A common stock in full satisfaction of $0.6 million, a portion of the cash fees payable to an affiliate of Craig-Hallum in connection with certain services provided to the Company in connection with the Business Combination. The purchase and sale of the shares of our Class A common stock pursuant to the Share Purchase Agreement was consummated on December 4, 2021. As Chief Executive Officer of Craig-Hallum, Steven Dyer may be deemed to beneficially own the securities owned directly by Craig-Hallum. The mailing address of Craig-Hallum is 222 S. 9th Street, Suite 350, Minneapolis, MN 55402.</w:t>
      </w:r>
    </w:p>
    <w:p>
      <w:pPr>
        <w:spacing w:after="0" w:line="24"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7,862,502 BuzzFeed Holder Shares held by General Atlantic BF, L.P. (“GA BF”). The general partner of GA BF is General Atlantic (SPV) GP, LLC (“GA SPV”). GA LP is the sole member of GA SPV. GA LP also ultimately controls General Atlantic GenPar, L.P., which is the general partner of General Atlantic Partners 93, L.P. Further, GA LP is the managing member of GAP Coinvestments III, LLC, GAP Coinvestments IV, LLC and GAP Coinvestments V, LLC, which in turn is the general partner of GAP Coinvestments CDA, L.P. The general partner of GAPCO GmbH &amp; Co. KG (“GAPCO GmbH”) is GAPCO Management GmbH (“GAPCO Management”). GA LP is controlled by the nine-member Management Committee of GASC MGP, LLC (the “Management Committee”). According to the statement, by virtue of the foregoing, each of the aforementioned parties may be deemed to share voting power and the power to direct the disposition of the securities directly owned by GA BF. Each of the members of the Management Committee disclaims ownership of the securities reported herein except to the extent of his or her pecuniary interest therein. The principal mailing address of both GAPCO GmbH and GAPCO Management is c/o General Atlantic GmbH, Luitpoldblock, Amiraplatz 3, 80333 Munich, Germany. The principal mailing address of each of the other aforementioned parties is c/o General Atlantic Service Company, L.P., 55 East 52nd Street, 33rd Floor, New York, NY 10055.</w:t>
      </w:r>
    </w:p>
    <w:p>
      <w:pPr>
        <w:spacing w:after="0" w:line="30" w:lineRule="exact"/>
        <w:rPr>
          <w:rFonts w:ascii="Times New Roman" w:cs="Times New Roman" w:eastAsia="Times New Roman" w:hAnsi="Times New Roman"/>
          <w:sz w:val="14"/>
          <w:szCs w:val="14"/>
          <w:color w:val="auto"/>
        </w:rPr>
      </w:pPr>
    </w:p>
    <w:p>
      <w:pPr>
        <w:ind w:left="340" w:right="60" w:hanging="332"/>
        <w:spacing w:after="0" w:line="265"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(i) 5,000,000 BuzzFeed Holder Shares held by HDS II, Inc; and (ii) 6,494,795 BuzzFeed Holder Shares held by Hearst Communications, Inc. (“HCJ”). HDS II, Inc. (“HDS II”) is a wholly-owned subsidiary of HCI. Each of HCI., Hearst Holdings, Inc., The Hearst Corporation and The Hearst Family Trust may be deemed to beneficially own the shares held by HCI and HDS II. HCI has the power to direct the voting and disposition of the shares as the controlling stockholder of HDS II. Hearst Holdings, Inc. has the power to direct the voting and disposition of the shares as the controlling stockholder of HCI. The Hearst Corporation has the power to direct the voting and disposition of the shares as the controlling stockholder of Hearst Holdings, Inc. The Hearst Family Trust has the power to direct the voting and disposition of the shares as the controlling stockholder of The Hearst Corporation. The mailing address of each of HDS II, HCI, Hearst Holdings, Inc., The Hearst Corporation and The Hearst Family Trust is 300 West 57th Street, New York, NY 10019.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35" w:lineRule="exact"/>
        <w:rPr>
          <w:sz w:val="20"/>
          <w:szCs w:val="20"/>
          <w:color w:val="auto"/>
        </w:rPr>
      </w:pPr>
    </w:p>
    <w:p>
      <w:pPr>
        <w:jc w:val="both"/>
        <w:ind w:left="340" w:right="100" w:hanging="332"/>
        <w:spacing w:after="0" w:line="268"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19,507,693 BuzzFeed Holder Shares. All of the shares reported in the table are directly beneficially owned by NBCU. NBCU is a wholly owned subsidiary of NBCUniversal, LLC, which, in turn, is wholly owned by Comcast Corporation (“Comcast”). As such, NBCUniversal, LLC and Comcast may each be deemed to have shared voting and investment discretion over securities directly owned by NBCU. The principal business office of Comcast is One Comcast Center, 1701 John F. Kennedy Blvd., Philadelphia, PA 19103. The principal business office of both NBCU and NBCUniversal, LLC is 30 Rockefeller Plaza, New York, NY 10112.</w:t>
      </w:r>
    </w:p>
    <w:p>
      <w:pPr>
        <w:spacing w:after="0" w:line="23" w:lineRule="exact"/>
        <w:rPr>
          <w:rFonts w:ascii="Times New Roman" w:cs="Times New Roman" w:eastAsia="Times New Roman" w:hAnsi="Times New Roman"/>
          <w:sz w:val="14"/>
          <w:szCs w:val="14"/>
          <w:color w:val="auto"/>
        </w:rPr>
      </w:pPr>
    </w:p>
    <w:p>
      <w:pPr>
        <w:ind w:left="340" w:right="120" w:hanging="332"/>
        <w:spacing w:after="0" w:line="265"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15,333,892 BuzzFeed Holder Shares of which New Enterprise Associates 13 LP (“NEA 13”) is the record owner. NEA Partners 13, L.P. (“NEA Partners 13”) is the sole general partner of NEA 13. NEA 13 GP, LTD (“NEA 13 GP”) is the sole general partner of NEA Partners 13. Each of such entities may be deemed to share voting and dispositive power over the shares directly held by NEA 13. Forest Baskett, Patrick J. Kerins, who is a member of our Board, and Scott D. Sandell are the directors of NEA 13 GP and may be deemed to have shared voting and investment discretion over securities directly or indirectly owned by the aforementioned entities. The principal mailing address of each of NEA 13, NEA Partners 13, NEA 13 GP, and Scott D. Sandell is 1954 Greenspring Drive, Suite 600, Timonium, MD 21093. The principal mailing address of Patrick J. Kerins is 5425 Wisconsin Avenue, Suite 800, Chevy Chase, MD 20815.</w:t>
      </w:r>
    </w:p>
    <w:p>
      <w:pPr>
        <w:spacing w:after="0" w:line="26" w:lineRule="exact"/>
        <w:rPr>
          <w:rFonts w:ascii="Times New Roman" w:cs="Times New Roman" w:eastAsia="Times New Roman" w:hAnsi="Times New Roman"/>
          <w:sz w:val="14"/>
          <w:szCs w:val="14"/>
          <w:color w:val="auto"/>
        </w:rPr>
      </w:pPr>
    </w:p>
    <w:p>
      <w:pPr>
        <w:ind w:left="340" w:right="80" w:hanging="332"/>
        <w:spacing w:after="0" w:line="261"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those reported in a statement on Schedule 13G filed with the SEC on February 14, 2023, by Redwood Capital Management, LLC (“RCM LLC”) and pursuant to BuzzFeed’s records. RCM LLC has sole voting and dispositive power over none of the shares of Class A common stock reported in this row, and it has shared voting and dispositive power over 9,903,750 of the shares reported in this row. According to the statement on Schedule 13G, all securities reported in this row are under the investment management of RCM LLC for its clients. Pursuant to BuzzFeed’s records, the shares of Class A common stock reported in this row consist of: (i) 6,802,313 shares of our Class A common stock issuable upon conversion of $65,250,000 principal amount of the Notes of which Redwood Master Fund Ltd. is the noteholder; (ii) 2,919,000 shares of our Class A common stock issuable upon conversion of $28,000,000 principal amount of the Notes of which Redwood Opportunity Fund, Ltd. is the noteholder; and (iii) 182,438 shares of our Class A common stock issuable upon conversion of $1,750,000 principal amount of the Notes of which Corbin Opportunity Fund, L.P. is the noteholder. Share amounts represent the maximum conversion rate of 100 shares of our Class A common stock per $1,000 principal amount of the Notes, which is equivalent to a conversion price of approximately $10.00 per share, plus any accrued and unpaid interest which may be payable to the holder of Notes. The sole member of RCM LLC is Redwood Capital Management Holdings, LP. The general partner of Redwood Capital Management Holdings, LP is Double Twins K, LLC. The managing member of Double Twins K, LLC is Ruben Kliksberg, who may be deemed to have voting and investment discretion over securities directly or indirectly owned by the aforementioned entities. The address of each of the aforementioned parties is 250 West 55th Street, 26th Floor, New York, NY 10019.</w:t>
      </w:r>
    </w:p>
    <w:p>
      <w:pPr>
        <w:spacing w:after="0" w:line="31" w:lineRule="exact"/>
        <w:rPr>
          <w:rFonts w:ascii="Times New Roman" w:cs="Times New Roman" w:eastAsia="Times New Roman" w:hAnsi="Times New Roman"/>
          <w:sz w:val="14"/>
          <w:szCs w:val="14"/>
          <w:color w:val="auto"/>
        </w:rPr>
      </w:pPr>
    </w:p>
    <w:p>
      <w:pPr>
        <w:ind w:left="340" w:right="100" w:hanging="332"/>
        <w:spacing w:after="0" w:line="265" w:lineRule="auto"/>
        <w:tabs>
          <w:tab w:leader="none" w:pos="33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those reported in a statement on Schedule 13G filed with the SEC on February 28, 2022, by RRE Ventures IV, L.P. (“RRE IV”). The securities reported in the table consist of: (i) 9,537,830 BuzzFeed Holder Shares directly held by RRE IV; and (ii) 812,577 BuzzFeed Holder Shares directly held by RRE Leaders Fund, L.P. (“RRE Leaders”). RRE Ventures GP IV, LLC is the general partner of RRE IV and, as such, shares voting and dispositive power over shares directly held by RRE IV. RRE Leaders GP, LLC is the general partner of RRE Leaders and, as such, shares voting and dispositive power over shares directly held by RRE Leaders. James D. Robinson IV, Stuart J. Ellman, and William D. Porteous are the managing members and officers of RRE Ventures GP IV, LLC and RRE Leaders GP, LLC and may be deemed to have shared voting and investment discretion over securities directly or indirectly owned by the aforementioned entities. The address of each of the aforementioned parties is 130 East 59th Street, 17th Floor, New York, NY 10022.</w:t>
      </w:r>
    </w:p>
    <w:p>
      <w:pPr>
        <w:spacing w:after="0" w:line="26" w:lineRule="exact"/>
        <w:rPr>
          <w:rFonts w:ascii="Times New Roman" w:cs="Times New Roman" w:eastAsia="Times New Roman" w:hAnsi="Times New Roman"/>
          <w:sz w:val="14"/>
          <w:szCs w:val="14"/>
          <w:color w:val="auto"/>
        </w:rPr>
      </w:pPr>
    </w:p>
    <w:p>
      <w:pPr>
        <w:ind w:left="340" w:right="20" w:hanging="332"/>
        <w:spacing w:after="0" w:line="259" w:lineRule="auto"/>
        <w:tabs>
          <w:tab w:leader="none" w:pos="33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(i) 363,520 shares of our Class A common stock issuable upon conversion of $3,487,000 principal amount of the Notes purchased by FMAP SOC Limited (“FMAP”); (ii) 434,931 shares of our Class A common stock issuable upon conversion of $4,172,000 principal amount of the Notes purchased by Silver Rock Opportunistic Credit Fund LP (“Silver Rock OCF”); (iii) 926,679 shares of our Class A common stock issuable upon conversion of $8,889,000 principal amount of the Notes purchased by Silver Rock Opportunities Fund I LP (“Silver Rock OF I”); (iv) 46,913 shares of our Class A common stock issuable upon conversion of $450,000 principal amount of the Notes purchased by Silver Rock RC Opportunistic Credit Fund LP (“Silver Rock RC OCF”); and (v) 365,084 shares of our Class A common stock issuable upon conversion of $3,502,000 principal amount of the Notes purchased by SRF Plan Assets Opportunistic Credit Fund LP (“SRF Assets OCF” and, together with FMAP, Silver Rock OCF, Silver Rock OF I and Silver Rock RC OCF, the “Silver Rock Parties”). Share amounts represent the maximum conversion rate of 100 shares of Class A common stock per $1,000 principal amount of the Notes, which is equivalent to a conversion price of approximately $10.00 per share, plus any accrued and unpaid interest which may be payable to the holder of Notes. SRF Master Fund GP LLC is the General Partner of Silver Rock OCF, Silver Rock OF I, Silver Rock RC OCF and SRF Assets OCF. Carl Meyer is the Managing Member of SRF Master Fund GP LLC. Silver Rock Financial LP is the investment adviser for the Silver Rock Parties. The mailing address for the Silver Rock Parties is c/o Silver Rock Financial LP, 12100 Wilshire Boulevard, Suite 1000, Los Angeles, CA 90025.</w:t>
      </w:r>
    </w:p>
    <w:p>
      <w:pPr>
        <w:spacing w:after="0" w:line="206" w:lineRule="exact"/>
        <w:rPr>
          <w:rFonts w:ascii="Times New Roman" w:cs="Times New Roman" w:eastAsia="Times New Roman" w:hAnsi="Times New Roman"/>
          <w:sz w:val="14"/>
          <w:szCs w:val="14"/>
          <w:color w:val="auto"/>
        </w:rPr>
      </w:pPr>
    </w:p>
    <w:p>
      <w:pPr>
        <w:ind w:left="340" w:hanging="332"/>
        <w:spacing w:after="0" w:line="261" w:lineRule="auto"/>
        <w:tabs>
          <w:tab w:leader="none" w:pos="33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a total of 11,478,031 BuzzFeed Holder Shares, comprised of: (i) 5,000,000 shares of our Class A common stock directly beneficially owned by MCI Communications Services LLC; and (ii) 6,478,031 shares of our Class A common stock issuable upon the conversion of 6,478,031 shares of Class C common stock directly beneficially owned by Verizon Ventures LLC (“Verizon”). The Class C Common Stock was issued to Verizon in February 2021 and, pursuant to the second amended and restated certificate of incorporation of BuzzFeed, filed as Exhibit 3.1 to the Current Report on Form 8-K filed by BuzzFeed on December 9, 2021 (i.e., the “Certificate of Incorporation”), became convertible into Class A common stock beginning on February 16, 2023. Not reflected in the table is that, on March 15, 2023, Verizon converted all of its Class C shares into Class A shares. Verizon is a direct wholly owned subsidiary of Verizon Communications Inc., and by virtue of this relationship, Verizon Communications Inc. may be deemed to have shared power to vote and dispose of, or to direct the vote and disposition of, the shares of our Class A common stock beneficially owned by Verizon. In addition, MCI Communications Services LLC is the direct beneficial owner of 5,000,000 shares of our Class A common stock. MCI Communications Services LLC is a direct wholly owned subsidiary of MCI International LLC. MCI International LLC is a direct wholly owned subsidiary of Verizon Business Network Services LLC. Verizon Business Network Services LLC is a direct wholly owned subsidiary of Verizon Business Global LLC. Verizon Business Global LLC is a direct wholly owned subsidiary of Verizon Communications Inc. By virtue of the relationships among such companies, each of them may be deemed to have shared power to vote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35" w:lineRule="exact"/>
        <w:rPr>
          <w:sz w:val="20"/>
          <w:szCs w:val="20"/>
          <w:color w:val="auto"/>
        </w:rPr>
      </w:pPr>
    </w:p>
    <w:p>
      <w:pPr>
        <w:ind w:left="332" w:right="200"/>
        <w:spacing w:after="0" w:line="301" w:lineRule="auto"/>
        <w:rPr>
          <w:sz w:val="20"/>
          <w:szCs w:val="20"/>
          <w:color w:val="auto"/>
        </w:rPr>
      </w:pPr>
      <w:r>
        <w:rPr>
          <w:rFonts w:ascii="Times New Roman" w:cs="Times New Roman" w:eastAsia="Times New Roman" w:hAnsi="Times New Roman"/>
          <w:sz w:val="14"/>
          <w:szCs w:val="14"/>
          <w:color w:val="auto"/>
        </w:rPr>
        <w:t>dispose of, or to direct the vote and disposition of, the 5,000,000 shares of the Class A common stock beneficially owned by MCI Communications Services LLC. The mailing address of each of the aforementioned parties is One Verizon Way, Basking Ridge, NJ 07920.</w:t>
      </w:r>
    </w:p>
    <w:p>
      <w:pPr>
        <w:spacing w:after="0" w:line="1" w:lineRule="exact"/>
        <w:rPr>
          <w:sz w:val="20"/>
          <w:szCs w:val="20"/>
          <w:color w:val="auto"/>
        </w:rPr>
      </w:pPr>
    </w:p>
    <w:p>
      <w:pPr>
        <w:ind w:left="332" w:right="180" w:hanging="332"/>
        <w:spacing w:after="0" w:line="282" w:lineRule="auto"/>
        <w:tabs>
          <w:tab w:leader="none" w:pos="32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(i) 38,248 BuzzFeed Equity Award Shares directly beneficially owned by Ms. Amble; and (ii) 16,895 BuzzFeed Equity Award Shares issuable upon the settlement of RSU awards held by Ms. Amble. As of February 28, 2023, Ms. Amble also beneficially owned 2,398 shares of our Class A common stock directly.</w:t>
      </w:r>
    </w:p>
    <w:p>
      <w:pPr>
        <w:spacing w:after="0" w:line="13" w:lineRule="exact"/>
        <w:rPr>
          <w:rFonts w:ascii="Times New Roman" w:cs="Times New Roman" w:eastAsia="Times New Roman" w:hAnsi="Times New Roman"/>
          <w:sz w:val="14"/>
          <w:szCs w:val="14"/>
          <w:color w:val="auto"/>
        </w:rPr>
      </w:pPr>
    </w:p>
    <w:p>
      <w:pPr>
        <w:ind w:left="332" w:hanging="332"/>
        <w:spacing w:after="0" w:line="261" w:lineRule="auto"/>
        <w:tabs>
          <w:tab w:leader="none" w:pos="32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first table, shares registered for sale hereby consist of: (i) 442,597 BuzzFeed Holder Shares owned directly by Mr. Coleman; (ii) 193,882 BuzzFeed Holder Shares owned by certain trusts (collectively, the “Coleman Trusts”), including 13,089 BuzzFeed Holder Shares directly held by The Eloise Marie Coleman 2016 Trust, 51,722 BuzzFeed Holder Shares directly held by The Benjamin Coleman 2000 Trust, 51,722 BuzzFeed Holder Shares directly held by The Stephen Coleman 2000 Trust, 13,089 BuzzFeed Holder Shares directly held by The Audrey Amelia Coleman 2014 Trust, 51,722 BuzzFeed Holder Shares directly held by The Melissa Coleman 2000 Trust, and 12,538 BuzzFeed Holder Shares directly held by The Coleman 2014 Family Trust; (iii) 1,594,854 BuzzFeed Equity Award Shares issuable upon the exercise of option awards held by Mr. Coleman as of February 28, 2023; (iv) 252,086 Founder Shares received in a distribution from the Sponsor; (v) 23,000 Private Placement Shares received in a distribution from the Sponsor; and (vi) 7,667 shares of our Class A common stock issuable upon the exercise of Private Placement Warrants received in a distribution from the Sponsor. With respect to shares held by the Coleman Trusts, Mr. Coleman’s brother serves as trustee of each of the Coleman Trusts and Mr. Coleman disclaims beneficial ownership of the shares held of record by each of the Coleman Trusts except to the extent of his pecuniary interest therein. For purposes of the second table, Warrants for sale hereby consist of 7,667 Private Placement Warrants received in a distribution from the Sponsor. The first table assumes the exercise in full of the Private Placement Warrants held by Mr. Coleman, and the second table assumes no exercise of the Private Placement Warrants held by Mr. Coleman. As of February 28, 2023, Mr. Coleman also beneficially owned 170,923 shares of our Class A common stock directly.</w:t>
      </w:r>
    </w:p>
    <w:p>
      <w:pPr>
        <w:spacing w:after="0" w:line="31" w:lineRule="exact"/>
        <w:rPr>
          <w:rFonts w:ascii="Times New Roman" w:cs="Times New Roman" w:eastAsia="Times New Roman" w:hAnsi="Times New Roman"/>
          <w:sz w:val="14"/>
          <w:szCs w:val="14"/>
          <w:color w:val="auto"/>
        </w:rPr>
      </w:pPr>
    </w:p>
    <w:p>
      <w:pPr>
        <w:ind w:left="332" w:right="400" w:hanging="332"/>
        <w:spacing w:after="0" w:line="268" w:lineRule="auto"/>
        <w:tabs>
          <w:tab w:leader="none" w:pos="32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(i) 154,042 BuzzFeed Equity Award Shares directly beneficially owned by Ms. DellaFortuna; (ii) 76,500 BuzzFeed Equity Award Shares issuable upon the exercise of option awards held by Ms. DellaFortuna; and (iii) 156,890 BuzzFeed Equity Award Shares issuable upon the settlement of RSU awards held by Ms. DellaFortuna. As of February 28, 2023, Ms. DellaFortuna also beneficially owned 71,941 shares underlying vested but unsettled RSU awards held by Ms. DellaFortuna, but for which settlement has been deferred pursuant to the grant agreement between Ms. DellaFortuna and BuzzFeed.</w:t>
      </w:r>
    </w:p>
    <w:p>
      <w:pPr>
        <w:spacing w:after="0" w:line="23" w:lineRule="exact"/>
        <w:rPr>
          <w:rFonts w:ascii="Times New Roman" w:cs="Times New Roman" w:eastAsia="Times New Roman" w:hAnsi="Times New Roman"/>
          <w:sz w:val="14"/>
          <w:szCs w:val="14"/>
          <w:color w:val="auto"/>
        </w:rPr>
      </w:pPr>
    </w:p>
    <w:p>
      <w:pPr>
        <w:ind w:left="332" w:right="120" w:hanging="332"/>
        <w:spacing w:after="0" w:line="265" w:lineRule="auto"/>
        <w:tabs>
          <w:tab w:leader="none" w:pos="32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first table, shares registered for sale hereby consist of: (i) 20,000 Founder Shares held by Scott Flanders; (ii) the 619,505 Founder Shares held by the Sponsor identified in footnote (2) above; (iii) 299,518 Founder Shares received in a distribution from the Sponsor; (iv) 45,000 Private Placement Shares received in a distribution from the Sponsor; and (v) 15,000 shares of our Class A common stock issuable upon the exercise of 15,000 Private Placement Warrants received in a distribution from 200 Park Avenue Partners, LLC. For purposes of the second table, Warrants for sale hereby consist of 15,000 Private Placement Warrants received in a distribution from the Sponsor. The first table assumes the exercise in full of the Private Placement Warrants held by Mr. Flanders, and the second table assumes no exercise of the Private Placement Warrants held by Mr. Flanders. The Sponsor is controlled by Mr. Flanders, as manager, and therefore Mr. Flanders has voting and dispositive power over the Founder Shares held by the Sponsor and may be deemed to beneficially own such shares. The mailing address of both the Sponsor and Mr. Flanders is P.O. Box 7859, Avon, CO 81620.</w:t>
      </w:r>
    </w:p>
    <w:p>
      <w:pPr>
        <w:spacing w:after="0" w:line="2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20,000 Founder Shares.</w:t>
      </w:r>
    </w:p>
    <w:p>
      <w:pPr>
        <w:spacing w:after="0" w:line="68" w:lineRule="exact"/>
        <w:rPr>
          <w:rFonts w:ascii="Times New Roman" w:cs="Times New Roman" w:eastAsia="Times New Roman" w:hAnsi="Times New Roman"/>
          <w:sz w:val="14"/>
          <w:szCs w:val="14"/>
          <w:color w:val="auto"/>
        </w:rPr>
      </w:pPr>
    </w:p>
    <w:p>
      <w:pPr>
        <w:ind w:left="332" w:right="60" w:hanging="332"/>
        <w:spacing w:after="0" w:line="268" w:lineRule="auto"/>
        <w:tabs>
          <w:tab w:leader="none" w:pos="32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(i) 31,461 BuzzFeed Holder Shares held by John S. Johnson III; and (ii) 5,550,953 BuzzFeed Holder Shares held by Johnson BF. Mr. Johnson is the sole member of Johnson BF and exercises investment discretion over both the shares he owns directly and the shares held directly by Johnson BF. Pursuant to the Holder Voting Agreement, Mr. Johnson and Johnson BF have each granted Jonah Peretti an irrevocable proxy to exercise sole voting authority over the aforementioned shares. The principal mailing address of both Mr. Johnson and Johnson BF is c/o CRM Management, 205 Hudson Street, Suite 1002, New York, NY 10013.</w:t>
      </w:r>
    </w:p>
    <w:p>
      <w:pPr>
        <w:spacing w:after="0" w:line="23" w:lineRule="exact"/>
        <w:rPr>
          <w:rFonts w:ascii="Times New Roman" w:cs="Times New Roman" w:eastAsia="Times New Roman" w:hAnsi="Times New Roman"/>
          <w:sz w:val="14"/>
          <w:szCs w:val="14"/>
          <w:color w:val="auto"/>
        </w:rPr>
      </w:pPr>
    </w:p>
    <w:p>
      <w:pPr>
        <w:ind w:left="332" w:right="220" w:hanging="332"/>
        <w:spacing w:after="0" w:line="291" w:lineRule="auto"/>
        <w:tabs>
          <w:tab w:leader="none" w:pos="32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hereby consist of the shares held by NEA 13 identified in footnote 9, above. As of February 28, 2023, Mr. Kerins also directly beneficially owned 106,714 shares of our Class A common stock.</w:t>
      </w:r>
    </w:p>
    <w:p>
      <w:pPr>
        <w:spacing w:after="0" w:line="1" w:lineRule="exact"/>
        <w:rPr>
          <w:rFonts w:ascii="Times New Roman" w:cs="Times New Roman" w:eastAsia="Times New Roman" w:hAnsi="Times New Roman"/>
          <w:sz w:val="14"/>
          <w:szCs w:val="14"/>
          <w:color w:val="auto"/>
        </w:rPr>
      </w:pPr>
    </w:p>
    <w:p>
      <w:pPr>
        <w:ind w:left="332" w:right="40" w:hanging="332"/>
        <w:spacing w:after="0" w:line="281" w:lineRule="auto"/>
        <w:tabs>
          <w:tab w:leader="none" w:pos="32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first table, shares registered for sale hereby consist of 6,000 shares of our Class A common stock issuable upon exercise of the Private Placement Warrants. For purposes of the second table, Warrants for sale hereby consist of 6,000 Private Placement Warrants. The first table assumes the exercise in full of the Private Placement Warrants held by John Lipman, and the second table assumes no exercise of the Private Placement Warrants held by Mr. Lipman.</w:t>
      </w:r>
    </w:p>
    <w:p>
      <w:pPr>
        <w:spacing w:after="0" w:line="15" w:lineRule="exact"/>
        <w:rPr>
          <w:rFonts w:ascii="Times New Roman" w:cs="Times New Roman" w:eastAsia="Times New Roman" w:hAnsi="Times New Roman"/>
          <w:sz w:val="14"/>
          <w:szCs w:val="14"/>
          <w:color w:val="auto"/>
        </w:rPr>
      </w:pPr>
    </w:p>
    <w:p>
      <w:pPr>
        <w:jc w:val="both"/>
        <w:ind w:left="332" w:right="160" w:hanging="332"/>
        <w:spacing w:after="0" w:line="268" w:lineRule="auto"/>
        <w:tabs>
          <w:tab w:leader="none" w:pos="32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(i) 192,234 BuzzFeed Equity Award Shares directly beneficially owned by Ms. Nguyen; (ii) 358,019 BuzzFeed Equity Award Shares issuable upon the exercise of option awards held by Ms. Nguyen; and (iii) 3,188 BuzzFeed Equity Award Shares issuable upon the settlement of RSU awards held by Ms. Nguyen. As of February 28, 2023, Ms. Nguyen also beneficially owned 27,977 shares underlying vested but unsettled RSU awards held by Ms. Nguyen, but for which settlement has been deferred pursuant to the grant agreement between Ms. Nguyen and BuzzFeed..</w:t>
      </w:r>
    </w:p>
    <w:p>
      <w:pPr>
        <w:spacing w:after="0" w:line="23" w:lineRule="exact"/>
        <w:rPr>
          <w:rFonts w:ascii="Times New Roman" w:cs="Times New Roman" w:eastAsia="Times New Roman" w:hAnsi="Times New Roman"/>
          <w:sz w:val="14"/>
          <w:szCs w:val="14"/>
          <w:color w:val="auto"/>
        </w:rPr>
      </w:pPr>
    </w:p>
    <w:p>
      <w:pPr>
        <w:ind w:left="332" w:right="60" w:hanging="332"/>
        <w:spacing w:after="0" w:line="268" w:lineRule="auto"/>
        <w:tabs>
          <w:tab w:leader="none" w:pos="32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6,437,416 shares of our Class B common stock directly held by Jonah Peretti, LLC, 1,200,000 of which are held in an escrow account administered by PNC pursuant to the terms of the Escrow Agreement. In addition to the Class B common stock, Mr. Peretti holds an irrevocable proxy granted by John S. Johnson III and Johnson BF pursuant to the Holder Voting Agreement, as further described in footnote (18), over an aggregate 5,582,414 BuzzFeed Holder Shares. Jonah Peretti is the managing member of Jonah Peretti, LLC and has voting and dispositive power over the shares held directly by Jonah Peretti, LLC.</w:t>
      </w:r>
    </w:p>
    <w:p>
      <w:pPr>
        <w:spacing w:after="0" w:line="23" w:lineRule="exact"/>
        <w:rPr>
          <w:rFonts w:ascii="Times New Roman" w:cs="Times New Roman" w:eastAsia="Times New Roman" w:hAnsi="Times New Roman"/>
          <w:sz w:val="14"/>
          <w:szCs w:val="14"/>
          <w:color w:val="auto"/>
        </w:rPr>
      </w:pPr>
    </w:p>
    <w:p>
      <w:pPr>
        <w:ind w:left="332" w:right="440" w:hanging="332"/>
        <w:spacing w:after="0" w:line="301" w:lineRule="auto"/>
        <w:tabs>
          <w:tab w:leader="none" w:pos="32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(i) 123,109 BuzzFeed Equity Award Shares directly beneficially owned by Ms. Powell; and (ii) 13,515 BuzzFeed Equity Award Shares underlying vested but unsettled time-based RSUs held by Ms. Powell, but for which settlement has been deferred pursuant to the grant agreement between Ms. Powell and BuzzFeed.</w:t>
      </w:r>
    </w:p>
    <w:p>
      <w:pPr>
        <w:spacing w:after="0" w:line="1" w:lineRule="exact"/>
        <w:rPr>
          <w:rFonts w:ascii="Times New Roman" w:cs="Times New Roman" w:eastAsia="Times New Roman" w:hAnsi="Times New Roman"/>
          <w:sz w:val="14"/>
          <w:szCs w:val="14"/>
          <w:color w:val="auto"/>
        </w:rPr>
      </w:pPr>
    </w:p>
    <w:p>
      <w:pPr>
        <w:ind w:left="332" w:right="260" w:hanging="332"/>
        <w:spacing w:after="0" w:line="282" w:lineRule="auto"/>
        <w:tabs>
          <w:tab w:leader="none" w:pos="32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(i) 60,243 BuzzFeed Equity Award Shares directly beneficially owned by Ms. Rollé; and (ii) 46,857 BuzzFeed Equity Award Shares issuable upon the settlement of RSU awards held by Ms. Rollé. As of February 28, 2023, Ms. Rollé also beneficially owned 83,932 shares of our Class A common stock directly.</w:t>
      </w:r>
    </w:p>
    <w:p>
      <w:pPr>
        <w:spacing w:after="0" w:line="13"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25,000 Founder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32"/>
          </w:cols>
          <w:pgMar w:left="328" w:top="1440" w:right="339" w:bottom="1440" w:gutter="0" w:footer="0" w:header="0"/>
        </w:sectPr>
      </w:pPr>
    </w:p>
    <w:bookmarkStart w:id="37" w:name="page38"/>
    <w:bookmarkEnd w:id="37"/>
    <w:p>
      <w:pPr>
        <w:spacing w:after="0" w:line="135" w:lineRule="exact"/>
        <w:rPr>
          <w:sz w:val="20"/>
          <w:szCs w:val="20"/>
          <w:color w:val="auto"/>
        </w:rPr>
      </w:pPr>
    </w:p>
    <w:p>
      <w:pPr>
        <w:ind w:left="312" w:hanging="312"/>
        <w:spacing w:after="0"/>
        <w:tabs>
          <w:tab w:leader="none" w:pos="31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20,000 Founder Shares.</w:t>
      </w:r>
    </w:p>
    <w:p>
      <w:pPr>
        <w:spacing w:after="0" w:line="68" w:lineRule="exact"/>
        <w:rPr>
          <w:rFonts w:ascii="Times New Roman" w:cs="Times New Roman" w:eastAsia="Times New Roman" w:hAnsi="Times New Roman"/>
          <w:sz w:val="14"/>
          <w:szCs w:val="14"/>
          <w:color w:val="auto"/>
        </w:rPr>
      </w:pPr>
    </w:p>
    <w:p>
      <w:pPr>
        <w:ind w:left="332" w:right="20" w:hanging="332"/>
        <w:spacing w:after="0" w:line="291" w:lineRule="auto"/>
        <w:tabs>
          <w:tab w:leader="none" w:pos="32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registered for sale hereby consist of 2,250 Founder Shares received in a distribution from the Sponsor. As of February 28, 2023, A Series Investments LLC also owned 83,932 shares of our Class A common stock directly. Angela Acharia is the Founder and Chief Executive Officer of A Series Investments, LLC.</w:t>
      </w:r>
    </w:p>
    <w:p>
      <w:pPr>
        <w:spacing w:after="0" w:line="1" w:lineRule="exact"/>
        <w:rPr>
          <w:rFonts w:ascii="Times New Roman" w:cs="Times New Roman" w:eastAsia="Times New Roman" w:hAnsi="Times New Roman"/>
          <w:sz w:val="14"/>
          <w:szCs w:val="14"/>
          <w:color w:val="auto"/>
        </w:rPr>
      </w:pPr>
    </w:p>
    <w:p>
      <w:pPr>
        <w:ind w:left="332" w:hanging="332"/>
        <w:spacing w:after="0" w:line="265" w:lineRule="auto"/>
        <w:tabs>
          <w:tab w:leader="none" w:pos="32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first table, shares registered for sale hereby consist of: (i) 1,177,192 Founder Shares received in a distribution from the Sponsor; (ii) 92,900 Private Placement Shares received in a distribution from the Sponsor; (iii) 100,000 BuzzFeed Holder Shares received in a distribution from the Sponsor; and (iv) 63,665 shares of our Class A common stock issuable upon the exercise of Private Placement Warrants and Working Capital Warrants received in a distribution from the Sponsor. For purposes of the second table, Warrants for sale hereby consist of: (i) 30,332 Private Placement Warrants received in a distribution from the Sponsor; and (ii) 33,333 Working Capital Warrants received in a distribution from the Sponsor. The first table assumes the exercise in full of the Private Placement Warrants held by Mr. Rothstein, and the second table assumes no exercise of the Private Placement Warrants held by Mr. Rothstein. As of February 28, 2023, Mr. Rothstein also beneficially owned 245,719 shares of our Class A common stock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92"/>
          </w:cols>
          <w:pgMar w:left="328" w:top="1440" w:right="379" w:bottom="1440" w:gutter="0" w:footer="0" w:header="0"/>
        </w:sectPr>
      </w:pPr>
    </w:p>
    <w:bookmarkStart w:id="38" w:name="page39"/>
    <w:bookmarkEnd w:id="3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Selling Securityholders, which as used herein includes donees, pledgees, transferees, distributees or other successors-in-interest selling shares of our Class A common stock, Warrants or interests in our Class A common stock or Warrants received after the date of this prospectus from the Selling Securityholders as a gift, pledge, partnership distribution or other transfer, may, from time to time, sell, transfer, distribute or otherwise dispose of certain of their shares of our Class A common stock, Warrants or interests in our Class A common stock or Warrants on any stock exchange, market or trading facility on which shares of our Class A common stock or Warrants, as applicable,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3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Selling Securityholders may use any one or more of the following methods when disposing of their shares of Class A common stock, Warrants or interests therein:</w:t>
      </w:r>
    </w:p>
    <w:p>
      <w:pPr>
        <w:spacing w:after="0" w:line="1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(which may involve crosses) in which the broker-dealer will attempt to sell the shares of Class A common stock or Warrants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and/or secondary distribution in accordance with the rules of the applicable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their employees, partners, members or stockholders;</w:t>
      </w:r>
    </w:p>
    <w:p>
      <w:pPr>
        <w:spacing w:after="0" w:line="171"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(including short sales “against the box”) effected after the date of the registration statement of which this prospectus is a part is declared effective by the SEC;</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standardized or over-the-counter options or other hedging transactions, whether through an options exchange or otherwise;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market transactions, including transactions on a national securities exchange or quotations service or over-the-counter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debts and other obligation;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our affiliates and stockholders, in a rights offering or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Securityholders to sell a specified number of such shares of Class A common stock or Warrants at a stipulated price per share or Warrant;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 any other method permitted by applicable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Securityholders may effect the distribution of our Class A common stock or Warrants from time to time in one or more transactions either:</w:t>
      </w:r>
    </w:p>
    <w:p>
      <w:pPr>
        <w:spacing w:after="0" w:line="1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relating to the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Selling Securityholders may, from time to time, transfer, distribute (including distributions in kind by registered securityholders that are investment funds), pledge, assign or grant a security interest in some or all of the shares of our Class A common stock or Warrants owned by them and, if a Selling Securityholder defaults in the performance of its secured obligations, the transferees, distributees, pledgees, assignees or secured parties may offer and sell such shares of Class A common stock or Warrants, from time to time, under this prospectus, or under an amendment or supplement to this prospectus under Rule 424(b)(3) or other applicable provision of the Securities Act amending the list of the Selling Securityholders to include the transferee, distributee, pledgee, assignee or other successors in interest as the Selling Securityholders under this prospectus. The Selling Securityholders also may transfer the shares in other circumstances, in which case the transferees, distributees, pledgees, assignees or other successors in interest will be the registered beneficial owners for purposes of this prospectus.</w:t>
      </w:r>
    </w:p>
    <w:p>
      <w:pPr>
        <w:spacing w:after="0" w:line="1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Selling Securityholder that is an entity may elect to make an in-kind distribution of Class A common stock or Warrants to its members, partners, or stockholders pursuant to the registration statement of which this prospectus forms a part by delivering a prospectus. To the extent that such transferees are not affiliates of ours, such transferees will receive freely tradable shares of our Class A common stock or Warrants pursuant to the distribution effected through this registration statement.</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and the Selling Securityholders may agree to indemnify an underwriter, broker-dealer or agent against certain liabilities related to the sale of our Class A common stock or Warrants, including liabilities under the Securities Act. The Selling Securityholders have advised us that they have not entered into any agreements, understandings or arrangements with any underwriters or broker-dealers regarding the sale of their Class A common stock or Warrants. Upon our notification by a Selling Securityholder that any material arrangement has been entered into with an underwriter or broker-dealer for the sale of our Class A common stock or Warrants through a block trade, special offering, exchange distribution, secondary distribution or a purchase by an underwriter or broker-dealer, we will file a supplement to this prospectus, if required, pursuant to Rule 424(b) under the Securities Act, disclosing certain material information, including:</w:t>
      </w:r>
    </w:p>
    <w:p>
      <w:pPr>
        <w:spacing w:after="0" w:line="13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selling securityholder;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or Warrants, as applicable, being offered;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participating underwriters, broker-dealers or agents;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commissions or other compensation paid to underwriters or broker-dealers and any discounts, commissions or concessions allowed or reallowed or paid by any underwriters to dealers;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 from the sale of Class A common stock or Warrants, as applicable;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terms of the offering.</w:t>
      </w:r>
    </w:p>
    <w:p>
      <w:pPr>
        <w:spacing w:after="0" w:line="17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Agents, broker-dealers and underwriters or their affiliates may engage in transactions with, or perform services for, the Selling Securityholders (or their affiliates) in the ordinary course of business. The Selling Securityholders may also use underwriters or other third parties with whom such Selling Securityholders have a material relationship.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Securityholders (or their affiliates) will describe the nature of any such relationship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can be no assurances that the Selling Securityholders will sell, nor are the Selling Securityholders required to sell, any or all of the Class A common stock or Warrants offered under this prospectus.</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connection with the sale of shares of our Class A common stock, Warrants or interests therein, the Selling Securityholder may enter into hedging transactions with broker-dealers or other financial institutions, which may in turn engage in short sales of our Class A common stock or Warrants in the course of hedging the positions they assume. The Selling Securityholders may also sell shares of our Class A common stock or Warrants short and deliver these securities to close out their short positions, or loan or pledge shares of our Class A common stock or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shares of our Class A common stock or Warrants offered by this prospectus, which shares such broker-dealer or other financial institution may resell pursuant to this prospectus (as supplemented or amended to reflect such transaction).</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Securityholders from the sale of shares of our Class A common stock or Warrants offered by them will be the purchase price of such shares of our Class A common stock or Warrants less discounts or commissions, if any. The Selling Securityholders reserve the right to accept and, together with their agents from time to time, to reject, in whole or in part, any proposed purchase of share of our Class A common stock or Warrants to be made directly or through agents. We will not receive any of the proceeds from any offering by the Selling Securityholders.</w:t>
      </w:r>
    </w:p>
    <w:p>
      <w:pPr>
        <w:spacing w:after="0" w:line="1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Selling Securityholders also may in the future resell a portion of our Class A common stock or Warrants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Selling Securityholders and any underwriters, broker-dealers, or agents that participate in the sale of shares of our Class A common stock, Warrants or interests therein may be “underwriters” within the meaning of Section 2(a)(11) of the Securities Act. Any discounts, commissions, concessions, or profit they earn on any resale of shares of our Class A common stock or Warrants may be underwriting discounts and commissions under the Securities Act. If any Selling Securityholder is an “underwriter” within the meaning of Section 2(a)(11)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 to indemnification against and contribution toward specific civil liabilities, including liabilities under the Securities Act.</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the extent required, our Class A common stock and Warrants to be sold, the purchase price and public offering price,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 To facilitate the offering of shares of our Class A common stock and Warrants offered by the Selling Securityholders, certain persons participating in the offering may engage in transactions that stabilize, maintain, or otherwise affect the price of our Class A common stock or Warrants. This may include over-allotments or short sales, which involve the sale by persons participating in the offering of more shares of Class A common stock or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Class A common stock or Warrants by bidding for or purchasing shares of Class A common stock or Warrants in the open market or by imposing penalty bids, whereby selling concessions allowed to dealers participating in the offering may be reclaimed if shares of Class A common stock or Warrants sold by them are repurchased in connection with stabilization transactions. The effect of these transactions may be to stabilize or maintain the market price of our Class A common stock or Warrants at a level above that which might otherwise prevail in the open market. These transactions may be discontinued at any time. These transactions may be effected on any exchange on which the securities are traded, in the over-the-counter market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Registration Rights Agreement and the Note Registration Rights Agreement, we have agreed to indemnify the applicable Selling Securityholders party thereto against all losses all losses, claims, damages, liabilities and expenses (including attorneys’ fees) that they may incur in connection with the sale of the securities registered hereunder caused by any untrue or alleged untrue statement of material fact contained in any registration statement or prospectus covering the resale of such Selling Securityholder’s securities or any omission or alleged omission of a material fact required to be stated therein or necessary to make the statements therein, in the light of the circumstances in which they were made, not misleading, including liabilities under the Securities Act, and to contribute to payments that the Selling Securityholders may be required to make with respect thereto.</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Registration Rights Agreement, we have agreed to maintain the effectiveness of the registration statement of which this prospectus forms a part pursuant to such agreement until (i) all applicable securities shall have been sold, transferred, disposed of or exchanged in accordance with the registration statement; (ii) the securities shall have been otherwise transferred or new certificates or book entry for such securities not bearing a legend restricting further transfer shall have been delivered by the Company and subsequent public distribution of such securities shall not require registration under the Securities Act; (iii) the securities shall have ceased to be outstanding; (iv) the securities may be sold without registration pursuant to Rule 144 promulgated under the Securities Act (or any successor rule promulgated thereafter by the SEC) (but with no volume or other restrictions or limitations); or (v) the securities have been sold to, or through, a broker, dealer or underwriter in a public distribution or other public securities transaction.</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Under the Note Registration Rights Agreement, we have agreed to maintain the effectiveness of the registration statement of which this prospectus forms a part pursuant to such agreement until (i) all applicable securities shall have been sold, transferred, disposed of or exchanged in accordance with the registration statement; (ii) the securities shall have been sold or otherwise disposed of without registration pursuant to Rule 144 promulgated under the Securities Act (or any successor rule promulgated thereafter by the SEC); or (iii) the securities may be sold without registration pursuant to Rule 144 promulgated under the Securities Act (or any successor rule promulgated thereafter by the SEC) (with no restriction as to volume or manner of 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be required to maintain effectiveness of the registration for securities pursuant to this clause (iii) unless the holder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(together with its affiliates) shall own less than 2% of the then-outstanding shares of common stock. For purposes of the 2% calculation, the number of outstanding shares of common stock shall include the shares of common stock issuable upon conversion of the Notes held by such holder and its affiliates.</w:t>
      </w:r>
    </w:p>
    <w:p>
      <w:pPr>
        <w:spacing w:after="0" w:line="13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have agreed to pay all expenses in connection with this offering, other than underwriting discounts, selling commissions, stock transfer taxes and certain legal expenses. The Selling Securityholders will pay, on a pro rata basis, any underwriting discounts, selling commissions, stock transfer taxes and certain legal expenses relating to the offering. Selling Securityholders may use this prospectus in connection with resales of shares of our Class A common stock or Warrants. This prospectus and any accompanying prospectus supplement will identify the Selling Securityholders, the terms of our Class A common stock and Warrants and any material relationships between us and the Selling Securityholders. Selling Securityholders may be deemed to be underwriters under the Securities Act in connection with shares of our Class A common stock or Warrants they resell and any profits on the sales may be deemed to be underwriting discounts and commissions under the Securities Act. Unless otherwise set forth in a prospectus supplement, the Selling Securityholders will receive all the net proceeds from the resale of shares of our Class A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Freshfields Bruckhaus Deringer US LLP. Any underwriters or agents will be advised about other issues relating to the offering by counsel to be named in the applicable prospectus supplement.</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BuzzFeed, Inc. as of December 31, 2022 and 2021, and for each of the three years in the period ended December 31, 2022,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1440" w:right="479" w:bottom="1440" w:gutter="0" w:footer="0" w:header="0"/>
        </w:sectPr>
      </w:pPr>
    </w:p>
    <w:bookmarkStart w:id="43" w:name="page44"/>
    <w:bookmarkEnd w:id="43"/>
    <w:p>
      <w:pPr>
        <w:spacing w:after="0" w:line="1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that BuzzFeed, Inc. (the “Registrant”) may incur in connection with the securities being registered hereby (all of which are to be paid by the Registrant).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$65,820.55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8"/>
                <w:shd w:val="clear" w:color="auto" w:fill="CCEEFF"/>
              </w:rPr>
              <w:t>+</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680" w:type="dxa"/>
            <w:vAlign w:val="bottom"/>
          </w:tcPr>
          <w:p>
            <w:pPr>
              <w:spacing w:after="0"/>
              <w:rPr>
                <w:sz w:val="20"/>
                <w:szCs w:val="20"/>
                <w:color w:val="auto"/>
              </w:rPr>
            </w:pPr>
            <w:r>
              <w:rPr>
                <w:rFonts w:ascii="Times New Roman" w:cs="Times New Roman" w:eastAsia="Times New Roman" w:hAnsi="Times New Roman"/>
                <w:sz w:val="14"/>
                <w:szCs w:val="14"/>
                <w:color w:val="auto"/>
              </w:rPr>
              <w:t>+    Previously paid.</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180" w:hanging="332"/>
        <w:spacing w:after="0" w:line="272" w:lineRule="auto"/>
        <w:tabs>
          <w:tab w:leader="none" w:pos="33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SEC registration fee, estimated expenses are not presently known. The foregoing sets forth the general categories of expenses that we anticipate we will incur in connection with the offering of securities under this registration statement. To the extent required, any applicable prospectus supplement will set forth the estimated aggregate amount of expenses payable in respect of any offering of securities under the registration statement.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“Securities Act”).</w:t>
      </w:r>
    </w:p>
    <w:p>
      <w:pPr>
        <w:spacing w:after="0" w:line="12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As permitted by the Delaware General Corporation Law, the Registrant’s second amended and restated certificate of incorporation (the “Certificate of Incorporation”) contains provisions that eliminate the personal liability of its directors for monetary damages for any breach of fiduciary duties as a director, except liability for the following:</w:t>
      </w:r>
    </w:p>
    <w:p>
      <w:pPr>
        <w:spacing w:after="0" w:line="12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Registrant or its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Delaware General Corporation Law (regarding unlawful dividends and stock purchases);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by the Delaware General Corporation Law, the Registrant’s restated bylaws (the “Bylaws”) provide that:</w:t>
      </w:r>
    </w:p>
    <w:p>
      <w:pPr>
        <w:spacing w:after="0" w:line="171" w:lineRule="exact"/>
        <w:rPr>
          <w:sz w:val="20"/>
          <w:szCs w:val="20"/>
          <w:color w:val="auto"/>
        </w:rPr>
      </w:pPr>
    </w:p>
    <w:p>
      <w:pPr>
        <w:ind w:left="660" w:right="1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indemnify its directors and officers to the fullest extent permitted by the Delaware General Corporation Law, subject to very limited exceptions;</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advance expenses, as incurred, to its directors and officers in connection with a legal proceeding to the fullest extent permitted by the Delaware General Corporation Law, subject to limited exceptions;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Bylaws are not exclusive.</w:t>
      </w:r>
    </w:p>
    <w:p>
      <w:pPr>
        <w:spacing w:after="0" w:line="17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its directors and officers, which provide for indemnification and advancements by the Registrant of certain expenses and costs under certain circumstances. The indemnification provisions in the Registrant’s Certificate of Incorporation, Bylaws and the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agreements entered into between the Registrant and each of its directors and officers may be sufficiently broad to permit indemnification of the Registrant’s directors and officers for liabilities arising under the Securities Act.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has directors’ and officers’ liability insurance for securities matters.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 or were previously filed and are hereby incorporated by reference.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4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11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740" w:type="dxa"/>
            <w:vAlign w:val="bottom"/>
          </w:tcPr>
          <w:p>
            <w:pPr>
              <w:spacing w:after="0"/>
              <w:rPr>
                <w:sz w:val="10"/>
                <w:szCs w:val="10"/>
                <w:color w:val="auto"/>
              </w:rPr>
            </w:pPr>
          </w:p>
        </w:tc>
        <w:tc>
          <w:tcPr>
            <w:tcW w:w="27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8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18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01"/>
        </w:trPr>
        <w:tc>
          <w:tcPr>
            <w:tcW w:w="1180" w:type="dxa"/>
            <w:vAlign w:val="bottom"/>
          </w:tcPr>
          <w:p>
            <w:pPr>
              <w:jc w:val="right"/>
              <w:ind w:right="836"/>
              <w:spacing w:after="0" w:line="201" w:lineRule="exact"/>
              <w:rPr>
                <w:sz w:val="20"/>
                <w:szCs w:val="20"/>
                <w:color w:val="auto"/>
              </w:rPr>
            </w:pPr>
            <w:r>
              <w:rPr>
                <w:rFonts w:ascii="Times New Roman" w:cs="Times New Roman" w:eastAsia="Times New Roman" w:hAnsi="Times New Roman"/>
                <w:sz w:val="18"/>
                <w:szCs w:val="18"/>
                <w:color w:val="auto"/>
              </w:rPr>
              <w:t>2.1</w:t>
            </w:r>
          </w:p>
        </w:tc>
        <w:tc>
          <w:tcPr>
            <w:tcW w:w="4400" w:type="dxa"/>
            <w:vAlign w:val="bottom"/>
            <w:tcBorders>
              <w:bottom w:val="single" w:sz="8" w:color="0000FF"/>
            </w:tcBorders>
            <w:gridSpan w:val="4"/>
          </w:tcPr>
          <w:p>
            <w:pPr>
              <w:spacing w:after="0" w:line="201"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Agreement and Plan of Merger, dated as of June 24, 2021,</w:t>
              </w:r>
            </w:hyperlink>
          </w:p>
        </w:tc>
        <w:tc>
          <w:tcPr>
            <w:tcW w:w="12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right"/>
              <w:ind w:right="219"/>
              <w:spacing w:after="0" w:line="201" w:lineRule="exact"/>
              <w:rPr>
                <w:sz w:val="20"/>
                <w:szCs w:val="20"/>
                <w:color w:val="auto"/>
              </w:rPr>
            </w:pPr>
            <w:r>
              <w:rPr>
                <w:rFonts w:ascii="Times New Roman" w:cs="Times New Roman" w:eastAsia="Times New Roman" w:hAnsi="Times New Roman"/>
                <w:sz w:val="18"/>
                <w:szCs w:val="18"/>
                <w:color w:val="auto"/>
              </w:rPr>
              <w:t>001-39877</w:t>
            </w:r>
          </w:p>
        </w:tc>
        <w:tc>
          <w:tcPr>
            <w:tcW w:w="1080" w:type="dxa"/>
            <w:vAlign w:val="bottom"/>
          </w:tcPr>
          <w:p>
            <w:pPr>
              <w:jc w:val="center"/>
              <w:ind w:right="16"/>
              <w:spacing w:after="0" w:line="201" w:lineRule="exact"/>
              <w:rPr>
                <w:sz w:val="20"/>
                <w:szCs w:val="20"/>
                <w:color w:val="auto"/>
              </w:rPr>
            </w:pPr>
            <w:r>
              <w:rPr>
                <w:rFonts w:ascii="Times New Roman" w:cs="Times New Roman" w:eastAsia="Times New Roman" w:hAnsi="Times New Roman"/>
                <w:sz w:val="18"/>
                <w:szCs w:val="18"/>
                <w:color w:val="auto"/>
                <w:w w:val="97"/>
              </w:rPr>
              <w:t>2.1</w:t>
            </w:r>
          </w:p>
        </w:tc>
        <w:tc>
          <w:tcPr>
            <w:tcW w:w="1240" w:type="dxa"/>
            <w:vAlign w:val="bottom"/>
          </w:tcPr>
          <w:p>
            <w:pPr>
              <w:jc w:val="right"/>
              <w:ind w:right="196"/>
              <w:spacing w:after="0" w:line="201" w:lineRule="exact"/>
              <w:rPr>
                <w:sz w:val="20"/>
                <w:szCs w:val="20"/>
                <w:color w:val="auto"/>
              </w:rPr>
            </w:pPr>
            <w:r>
              <w:rPr>
                <w:rFonts w:ascii="Times New Roman" w:cs="Times New Roman" w:eastAsia="Times New Roman" w:hAnsi="Times New Roman"/>
                <w:sz w:val="18"/>
                <w:szCs w:val="18"/>
                <w:color w:val="auto"/>
              </w:rPr>
              <w:t>6/24/2021</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44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by and among 890 5th Avenue Partners, Inc., Bolt Merger</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4520" w:type="dxa"/>
            <w:vAlign w:val="bottom"/>
            <w:gridSpan w:val="5"/>
          </w:tcPr>
          <w:p>
            <w:pPr>
              <w:spacing w:after="0" w:line="19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Sub I, Inc., Bolt Merger Sub II, Inc., and BuzzFeed, Inc.</w:t>
              </w:r>
            </w:hyperlink>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jc w:val="right"/>
              <w:ind w:right="836"/>
              <w:spacing w:after="0"/>
              <w:rPr>
                <w:sz w:val="20"/>
                <w:szCs w:val="20"/>
                <w:color w:val="auto"/>
              </w:rPr>
            </w:pPr>
            <w:r>
              <w:rPr>
                <w:rFonts w:ascii="Times New Roman" w:cs="Times New Roman" w:eastAsia="Times New Roman" w:hAnsi="Times New Roman"/>
                <w:sz w:val="18"/>
                <w:szCs w:val="18"/>
                <w:color w:val="auto"/>
              </w:rPr>
              <w:t>2.2</w:t>
            </w:r>
          </w:p>
        </w:tc>
        <w:tc>
          <w:tcPr>
            <w:tcW w:w="17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S-4/A</w:t>
            </w:r>
          </w:p>
        </w:tc>
        <w:tc>
          <w:tcPr>
            <w:tcW w:w="1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8"/>
                <w:szCs w:val="18"/>
                <w:color w:val="auto"/>
              </w:rPr>
              <w:t>333-258343</w:t>
            </w:r>
          </w:p>
        </w:tc>
        <w:tc>
          <w:tcPr>
            <w:tcW w:w="1080" w:type="dxa"/>
            <w:vAlign w:val="bottom"/>
            <w:vMerge w:val="restart"/>
          </w:tcPr>
          <w:p>
            <w:pPr>
              <w:jc w:val="center"/>
              <w:ind w:right="16"/>
              <w:spacing w:after="0"/>
              <w:rPr>
                <w:sz w:val="20"/>
                <w:szCs w:val="20"/>
                <w:color w:val="auto"/>
              </w:rPr>
            </w:pPr>
            <w:r>
              <w:rPr>
                <w:rFonts w:ascii="Times New Roman" w:cs="Times New Roman" w:eastAsia="Times New Roman" w:hAnsi="Times New Roman"/>
                <w:sz w:val="18"/>
                <w:szCs w:val="18"/>
                <w:color w:val="auto"/>
                <w:w w:val="97"/>
              </w:rPr>
              <w:t>2.2</w:t>
            </w:r>
          </w:p>
        </w:tc>
        <w:tc>
          <w:tcPr>
            <w:tcW w:w="1240" w:type="dxa"/>
            <w:vAlign w:val="bottom"/>
            <w:vMerge w:val="restart"/>
          </w:tcPr>
          <w:p>
            <w:pPr>
              <w:jc w:val="right"/>
              <w:ind w:right="156"/>
              <w:spacing w:after="0"/>
              <w:rPr>
                <w:sz w:val="20"/>
                <w:szCs w:val="20"/>
                <w:color w:val="auto"/>
              </w:rPr>
            </w:pPr>
            <w:r>
              <w:rPr>
                <w:rFonts w:ascii="Times New Roman" w:cs="Times New Roman" w:eastAsia="Times New Roman" w:hAnsi="Times New Roman"/>
                <w:sz w:val="18"/>
                <w:szCs w:val="18"/>
                <w:color w:val="auto"/>
              </w:rPr>
              <w:t>10/29/2021</w:t>
            </w: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vMerge w:val="continue"/>
          </w:tcPr>
          <w:p>
            <w:pPr>
              <w:spacing w:after="0"/>
              <w:rPr>
                <w:sz w:val="24"/>
                <w:szCs w:val="24"/>
                <w:color w:val="auto"/>
              </w:rPr>
            </w:pPr>
          </w:p>
        </w:tc>
        <w:tc>
          <w:tcPr>
            <w:tcW w:w="4520" w:type="dxa"/>
            <w:vAlign w:val="bottom"/>
            <w:gridSpan w:val="5"/>
          </w:tcPr>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Amendment No. 1 to Agreement and Plan of Merger, dated</w:t>
              </w:r>
            </w:hyperlink>
          </w:p>
        </w:tc>
        <w:tc>
          <w:tcPr>
            <w:tcW w:w="80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520" w:type="dxa"/>
            <w:vAlign w:val="bottom"/>
            <w:gridSpan w:val="5"/>
          </w:tcPr>
          <w:p>
            <w:pPr>
              <w:spacing w:after="0" w:line="196"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as of October 28, 2021, by and among 890 5th Avenue</w:t>
              </w:r>
            </w:hyperlink>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4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Partners, Inc., Bolt Merger Sub I, Inc., Bolt Merger Sub II,</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4520" w:type="dxa"/>
            <w:vAlign w:val="bottom"/>
            <w:gridSpan w:val="5"/>
          </w:tcPr>
          <w:p>
            <w:pPr>
              <w:spacing w:after="0" w:line="196"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Inc., and BuzzFeed, Inc.</w:t>
              </w:r>
            </w:hyperlink>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br w:type="column"/>
      </w:r>
    </w:p>
    <w:p>
      <w:pPr>
        <w:jc w:val="both"/>
        <w:spacing w:after="0" w:line="261" w:lineRule="auto"/>
        <w:rPr>
          <w:rFonts w:ascii="Times New Roman" w:cs="Times New Roman" w:eastAsia="Times New Roman" w:hAnsi="Times New Roman"/>
          <w:sz w:val="18"/>
          <w:szCs w:val="18"/>
          <w:u w:val="single" w:color="auto"/>
          <w:color w:val="0000FF"/>
        </w:rPr>
      </w:pPr>
      <w:hyperlink r:id="rId16">
        <w:r>
          <w:rPr>
            <w:rFonts w:ascii="Times New Roman" w:cs="Times New Roman" w:eastAsia="Times New Roman" w:hAnsi="Times New Roman"/>
            <w:sz w:val="18"/>
            <w:szCs w:val="18"/>
            <w:u w:val="single" w:color="auto"/>
            <w:color w:val="0000FF"/>
          </w:rPr>
          <w:t>Membership Interest Purchase Agreement, dated as of</w:t>
        </w:r>
      </w:hyperlink>
      <w:r>
        <w:rPr>
          <w:rFonts w:ascii="Times New Roman" w:cs="Times New Roman" w:eastAsia="Times New Roman" w:hAnsi="Times New Roman"/>
          <w:sz w:val="18"/>
          <w:szCs w:val="18"/>
          <w:u w:val="single" w:color="auto"/>
          <w:color w:val="0000FF"/>
        </w:rPr>
        <w:t xml:space="preserve"> </w:t>
      </w:r>
      <w:hyperlink r:id="rId16">
        <w:r>
          <w:rPr>
            <w:rFonts w:ascii="Times New Roman" w:cs="Times New Roman" w:eastAsia="Times New Roman" w:hAnsi="Times New Roman"/>
            <w:sz w:val="18"/>
            <w:szCs w:val="18"/>
            <w:u w:val="single" w:color="auto"/>
            <w:color w:val="0000FF"/>
          </w:rPr>
          <w:t>March 27, 2021, by and among BuzzFeed, Inc., CM</w:t>
        </w:r>
      </w:hyperlink>
      <w:r>
        <w:rPr>
          <w:rFonts w:ascii="Times New Roman" w:cs="Times New Roman" w:eastAsia="Times New Roman" w:hAnsi="Times New Roman"/>
          <w:sz w:val="18"/>
          <w:szCs w:val="18"/>
          <w:u w:val="single" w:color="auto"/>
          <w:color w:val="0000FF"/>
        </w:rPr>
        <w:t xml:space="preserve"> </w:t>
      </w:r>
      <w:hyperlink r:id="rId16">
        <w:r>
          <w:rPr>
            <w:rFonts w:ascii="Times New Roman" w:cs="Times New Roman" w:eastAsia="Times New Roman" w:hAnsi="Times New Roman"/>
            <w:sz w:val="18"/>
            <w:szCs w:val="18"/>
            <w:u w:val="single" w:color="auto"/>
            <w:color w:val="0000FF"/>
          </w:rPr>
          <w:t>Partners, LLC, Complex Media, Inc., Verizon CMP</w:t>
        </w:r>
      </w:hyperlink>
      <w:r>
        <w:rPr>
          <w:rFonts w:ascii="Times New Roman" w:cs="Times New Roman" w:eastAsia="Times New Roman" w:hAnsi="Times New Roman"/>
          <w:sz w:val="18"/>
          <w:szCs w:val="18"/>
          <w:u w:val="single" w:color="auto"/>
          <w:color w:val="0000FF"/>
        </w:rPr>
        <w:t xml:space="preserve"> </w:t>
      </w:r>
      <w:hyperlink r:id="rId16">
        <w:r>
          <w:rPr>
            <w:rFonts w:ascii="Times New Roman" w:cs="Times New Roman" w:eastAsia="Times New Roman" w:hAnsi="Times New Roman"/>
            <w:sz w:val="18"/>
            <w:szCs w:val="18"/>
            <w:u w:val="single" w:color="auto"/>
            <w:color w:val="0000FF"/>
          </w:rPr>
          <w:t>Holdings LLC and HDS II, Inc.</w:t>
        </w:r>
      </w:hyperlink>
    </w:p>
    <w:p>
      <w:pPr>
        <w:spacing w:after="0" w:line="72" w:lineRule="exact"/>
        <w:rPr>
          <w:rFonts w:ascii="Times New Roman" w:cs="Times New Roman" w:eastAsia="Times New Roman" w:hAnsi="Times New Roman"/>
          <w:sz w:val="18"/>
          <w:szCs w:val="18"/>
          <w:u w:val="single" w:color="auto"/>
          <w:color w:val="0000FF"/>
        </w:rPr>
      </w:pPr>
    </w:p>
    <w:p>
      <w:pPr>
        <w:jc w:val="both"/>
        <w:spacing w:after="0" w:line="261" w:lineRule="auto"/>
        <w:rPr>
          <w:rFonts w:ascii="Times New Roman" w:cs="Times New Roman" w:eastAsia="Times New Roman" w:hAnsi="Times New Roman"/>
          <w:sz w:val="18"/>
          <w:szCs w:val="18"/>
          <w:u w:val="single" w:color="auto"/>
          <w:color w:val="0000FF"/>
        </w:rPr>
      </w:pPr>
      <w:hyperlink r:id="rId17">
        <w:r>
          <w:rPr>
            <w:rFonts w:ascii="Times New Roman" w:cs="Times New Roman" w:eastAsia="Times New Roman" w:hAnsi="Times New Roman"/>
            <w:sz w:val="18"/>
            <w:szCs w:val="18"/>
            <w:u w:val="single" w:color="auto"/>
            <w:color w:val="0000FF"/>
          </w:rPr>
          <w:t>Amendment No. 1 to the Membership Interest Purchase</w:t>
        </w:r>
      </w:hyperlink>
      <w:r>
        <w:rPr>
          <w:rFonts w:ascii="Times New Roman" w:cs="Times New Roman" w:eastAsia="Times New Roman" w:hAnsi="Times New Roman"/>
          <w:sz w:val="18"/>
          <w:szCs w:val="18"/>
          <w:u w:val="single" w:color="auto"/>
          <w:color w:val="0000FF"/>
        </w:rPr>
        <w:t xml:space="preserve"> </w:t>
      </w:r>
      <w:hyperlink r:id="rId17">
        <w:r>
          <w:rPr>
            <w:rFonts w:ascii="Times New Roman" w:cs="Times New Roman" w:eastAsia="Times New Roman" w:hAnsi="Times New Roman"/>
            <w:sz w:val="18"/>
            <w:szCs w:val="18"/>
            <w:u w:val="single" w:color="auto"/>
            <w:color w:val="0000FF"/>
          </w:rPr>
          <w:t>Agreement, dated as of June 24, 2021, by and among</w:t>
        </w:r>
      </w:hyperlink>
      <w:r>
        <w:rPr>
          <w:rFonts w:ascii="Times New Roman" w:cs="Times New Roman" w:eastAsia="Times New Roman" w:hAnsi="Times New Roman"/>
          <w:sz w:val="18"/>
          <w:szCs w:val="18"/>
          <w:u w:val="single" w:color="auto"/>
          <w:color w:val="0000FF"/>
        </w:rPr>
        <w:t xml:space="preserve"> </w:t>
      </w:r>
      <w:hyperlink r:id="rId17">
        <w:r>
          <w:rPr>
            <w:rFonts w:ascii="Times New Roman" w:cs="Times New Roman" w:eastAsia="Times New Roman" w:hAnsi="Times New Roman"/>
            <w:sz w:val="18"/>
            <w:szCs w:val="18"/>
            <w:u w:val="single" w:color="auto"/>
            <w:color w:val="0000FF"/>
          </w:rPr>
          <w:t>BuzzFeed, Inc., CM Partners, LLC, Complex Media, Inc.,</w:t>
        </w:r>
      </w:hyperlink>
      <w:r>
        <w:rPr>
          <w:rFonts w:ascii="Times New Roman" w:cs="Times New Roman" w:eastAsia="Times New Roman" w:hAnsi="Times New Roman"/>
          <w:sz w:val="18"/>
          <w:szCs w:val="18"/>
          <w:u w:val="single" w:color="auto"/>
          <w:color w:val="0000FF"/>
        </w:rPr>
        <w:t xml:space="preserve"> </w:t>
      </w:r>
      <w:hyperlink r:id="rId17">
        <w:r>
          <w:rPr>
            <w:rFonts w:ascii="Times New Roman" w:cs="Times New Roman" w:eastAsia="Times New Roman" w:hAnsi="Times New Roman"/>
            <w:sz w:val="18"/>
            <w:szCs w:val="18"/>
            <w:u w:val="single" w:color="auto"/>
            <w:color w:val="0000FF"/>
          </w:rPr>
          <w:t>Verizon CMP Holdings LLC and HDS II, Inc.</w:t>
        </w:r>
      </w:hyperlink>
    </w:p>
    <w:p>
      <w:pPr>
        <w:spacing w:after="0" w:line="18"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18">
        <w:r>
          <w:rPr>
            <w:rFonts w:ascii="Times New Roman" w:cs="Times New Roman" w:eastAsia="Times New Roman" w:hAnsi="Times New Roman"/>
            <w:sz w:val="18"/>
            <w:szCs w:val="18"/>
            <w:u w:val="single" w:color="auto"/>
            <w:color w:val="0000FF"/>
          </w:rPr>
          <w:t>Second Amended and Restated Certificate of Incorporation</w:t>
        </w:r>
      </w:hyperlink>
      <w:r>
        <w:rPr>
          <w:rFonts w:ascii="Times New Roman" w:cs="Times New Roman" w:eastAsia="Times New Roman" w:hAnsi="Times New Roman"/>
          <w:sz w:val="18"/>
          <w:szCs w:val="18"/>
          <w:u w:val="single" w:color="auto"/>
          <w:color w:val="0000FF"/>
        </w:rPr>
        <w:t xml:space="preserve"> </w:t>
      </w:r>
      <w:hyperlink r:id="rId18">
        <w:r>
          <w:rPr>
            <w:rFonts w:ascii="Times New Roman" w:cs="Times New Roman" w:eastAsia="Times New Roman" w:hAnsi="Times New Roman"/>
            <w:sz w:val="18"/>
            <w:szCs w:val="18"/>
            <w:u w:val="single" w:color="auto"/>
            <w:color w:val="0000FF"/>
          </w:rPr>
          <w:t>of BuzzFeed, Inc.</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S-4</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333-258343</w:t>
            </w: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7/30/2021</w:t>
            </w:r>
          </w:p>
        </w:tc>
      </w:tr>
      <w:tr>
        <w:trPr>
          <w:trHeight w:val="972"/>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S-4</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333-258343</w:t>
            </w: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7/30/2021</w:t>
            </w:r>
          </w:p>
        </w:tc>
      </w:tr>
      <w:tr>
        <w:trPr>
          <w:trHeight w:val="9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001-39877</w:t>
            </w: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12/9/2021</w:t>
            </w:r>
          </w:p>
        </w:tc>
      </w:tr>
    </w:tbl>
    <w:p>
      <w:pPr>
        <w:spacing w:after="0" w:line="305" w:lineRule="exact"/>
        <w:rPr>
          <w:sz w:val="20"/>
          <w:szCs w:val="20"/>
          <w:color w:val="auto"/>
        </w:rPr>
      </w:pPr>
    </w:p>
    <w:p>
      <w:pPr>
        <w:sectPr>
          <w:pgSz w:w="11900" w:h="16838" w:orient="portrait"/>
          <w:cols w:equalWidth="0" w:num="3">
            <w:col w:w="460" w:space="720"/>
            <w:col w:w="4400" w:space="340"/>
            <w:col w:w="532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520" w:type="dxa"/>
            <w:vAlign w:val="bottom"/>
            <w:gridSpan w:val="11"/>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Restated Bylaws of BuzzFeed, Inc.</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001-39877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12/9/2021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520" w:type="dxa"/>
            <w:vAlign w:val="bottom"/>
            <w:gridSpan w:val="11"/>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Specimen Common Stock Certificate.</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S-4/A</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333-258343</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10/1/2021</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18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8"/>
              </w:rPr>
            </w:pPr>
            <w:hyperlink r:id="rId21">
              <w:r>
                <w:rPr>
                  <w:rFonts w:ascii="Times New Roman" w:cs="Times New Roman" w:eastAsia="Times New Roman" w:hAnsi="Times New Roman"/>
                  <w:sz w:val="18"/>
                  <w:szCs w:val="18"/>
                  <w:color w:val="0000FF"/>
                  <w:w w:val="98"/>
                </w:rPr>
                <w:t>Specimen Warrant Certificate.</w:t>
              </w:r>
            </w:hyperlink>
          </w:p>
        </w:tc>
        <w:tc>
          <w:tcPr>
            <w:tcW w:w="540" w:type="dxa"/>
            <w:vAlign w:val="bottom"/>
            <w:tcBorders>
              <w:top w:val="single" w:sz="8" w:color="0000FF"/>
            </w:tcBorders>
            <w:gridSpan w:val="3"/>
          </w:tcPr>
          <w:p>
            <w:pPr>
              <w:spacing w:after="0"/>
              <w:rPr>
                <w:sz w:val="22"/>
                <w:szCs w:val="22"/>
                <w:color w:val="auto"/>
              </w:rPr>
            </w:pPr>
          </w:p>
        </w:tc>
        <w:tc>
          <w:tcPr>
            <w:tcW w:w="1800" w:type="dxa"/>
            <w:vAlign w:val="bottom"/>
            <w:gridSpan w:val="5"/>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333-251650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1/6/2021</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4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Warrant Agreement, dated January 11, 2021, by and between</w:t>
              </w:r>
            </w:hyperlink>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001-39877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1/15/2021</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4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BuzzFeed, Inc. (f//k/a 890 5th Avenue Partners, Inc.) and</w:t>
              </w:r>
            </w:hyperlink>
          </w:p>
        </w:tc>
        <w:tc>
          <w:tcPr>
            <w:tcW w:w="12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3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8"/>
              </w:rPr>
            </w:pPr>
            <w:hyperlink r:id="rId22">
              <w:r>
                <w:rPr>
                  <w:rFonts w:ascii="Times New Roman" w:cs="Times New Roman" w:eastAsia="Times New Roman" w:hAnsi="Times New Roman"/>
                  <w:sz w:val="18"/>
                  <w:szCs w:val="18"/>
                  <w:color w:val="0000FF"/>
                  <w:w w:val="98"/>
                </w:rPr>
                <w:t>Continental Stock Transfer &amp; Trust Company.</w:t>
              </w:r>
            </w:hyperlink>
          </w:p>
        </w:tc>
        <w:tc>
          <w:tcPr>
            <w:tcW w:w="120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5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Opinion  of  Freshfields  Bruckhaus  Deringer  US  LLP</w:t>
            </w: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regarding the validity of the securities.</w:t>
            </w:r>
          </w:p>
        </w:tc>
        <w:tc>
          <w:tcPr>
            <w:tcW w:w="1620" w:type="dxa"/>
            <w:vAlign w:val="bottom"/>
            <w:tcBorders>
              <w:top w:val="single" w:sz="8" w:color="0000FF"/>
            </w:tcBorders>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5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23.2</w:t>
            </w: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77"/>
        </w:trPr>
        <w:tc>
          <w:tcPr>
            <w:tcW w:w="1160" w:type="dxa"/>
            <w:vAlign w:val="bottom"/>
            <w:vMerge w:val="continue"/>
          </w:tcPr>
          <w:p>
            <w:pPr>
              <w:spacing w:after="0"/>
              <w:rPr>
                <w:sz w:val="24"/>
                <w:szCs w:val="24"/>
                <w:color w:val="auto"/>
              </w:rPr>
            </w:pPr>
          </w:p>
        </w:tc>
        <w:tc>
          <w:tcPr>
            <w:tcW w:w="44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Consent  of  Freshfields  Bruckhaus  Deringer  US  LLP</w:t>
            </w:r>
          </w:p>
        </w:tc>
        <w:tc>
          <w:tcPr>
            <w:tcW w:w="12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5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(included in Exhibit 5.1).</w:t>
            </w: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34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8"/>
              </w:rPr>
            </w:pPr>
            <w:hyperlink r:id="rId23">
              <w:r>
                <w:rPr>
                  <w:rFonts w:ascii="Times New Roman" w:cs="Times New Roman" w:eastAsia="Times New Roman" w:hAnsi="Times New Roman"/>
                  <w:sz w:val="18"/>
                  <w:szCs w:val="18"/>
                  <w:color w:val="0000FF"/>
                  <w:w w:val="98"/>
                </w:rPr>
                <w:t>Power of Attorney</w:t>
              </w:r>
            </w:hyperlink>
          </w:p>
        </w:tc>
        <w:tc>
          <w:tcPr>
            <w:tcW w:w="460" w:type="dxa"/>
            <w:vAlign w:val="bottom"/>
            <w:tcBorders>
              <w:top w:val="single" w:sz="8" w:color="0000FF"/>
            </w:tcBorders>
          </w:tcPr>
          <w:p>
            <w:pPr>
              <w:spacing w:after="0"/>
              <w:rPr>
                <w:sz w:val="24"/>
                <w:szCs w:val="24"/>
                <w:color w:val="auto"/>
              </w:rPr>
            </w:pPr>
          </w:p>
        </w:tc>
        <w:tc>
          <w:tcPr>
            <w:tcW w:w="2720" w:type="dxa"/>
            <w:vAlign w:val="bottom"/>
            <w:gridSpan w:val="9"/>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333-262105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1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1/11/2022</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40" w:hanging="332"/>
        <w:spacing w:after="0" w:line="278" w:lineRule="auto"/>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to this Exhibit omitted pursuant to Regulation S-K Item 601(b)(2). The Registrant agrees to furnish supplementally a copy of any omitted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1440" w:right="339" w:bottom="1440" w:gutter="0" w:footer="0" w:header="0"/>
          <w:type w:val="continuous"/>
        </w:sectPr>
      </w:pPr>
    </w:p>
    <w:bookmarkStart w:id="45" w:name="page46"/>
    <w:bookmarkEnd w:id="45"/>
    <w:p>
      <w:pPr>
        <w:spacing w:after="0" w:line="135" w:lineRule="exact"/>
        <w:rPr>
          <w:sz w:val="20"/>
          <w:szCs w:val="20"/>
          <w:color w:val="auto"/>
        </w:rPr>
      </w:pPr>
    </w:p>
    <w:p>
      <w:pPr>
        <w:ind w:right="4860" w:firstLine="8"/>
        <w:spacing w:after="0" w:line="302" w:lineRule="auto"/>
        <w:tabs>
          <w:tab w:leader="none" w:pos="321"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has omitted portions of this Exhibit as permitted under Item 601(b)(1) of Regulation S-K. ** Filed herewith.</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“Securities Act”);</w:t>
      </w:r>
    </w:p>
    <w:p>
      <w:pPr>
        <w:spacing w:after="0" w:line="171" w:lineRule="exact"/>
        <w:rPr>
          <w:rFonts w:ascii="Times New Roman" w:cs="Times New Roman" w:eastAsia="Times New Roman" w:hAnsi="Times New Roman"/>
          <w:sz w:val="18"/>
          <w:szCs w:val="18"/>
          <w:color w:val="auto"/>
        </w:rPr>
      </w:pPr>
    </w:p>
    <w:p>
      <w:pPr>
        <w:ind w:left="980" w:right="20" w:hanging="324"/>
        <w:spacing w:after="0" w:line="255" w:lineRule="auto"/>
        <w:tabs>
          <w:tab w:leader="none" w:pos="97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34"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126" w:lineRule="exact"/>
        <w:rPr>
          <w:sz w:val="20"/>
          <w:szCs w:val="20"/>
          <w:color w:val="auto"/>
        </w:rPr>
      </w:pPr>
    </w:p>
    <w:p>
      <w:pPr>
        <w:ind w:left="660" w:right="40" w:hanging="328"/>
        <w:spacing w:after="0" w:line="266"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7" w:lineRule="exact"/>
        <w:rPr>
          <w:rFonts w:ascii="Times New Roman" w:cs="Times New Roman" w:eastAsia="Times New Roman" w:hAnsi="Times New Roman"/>
          <w:sz w:val="18"/>
          <w:szCs w:val="18"/>
          <w:color w:val="auto"/>
        </w:rPr>
      </w:pPr>
    </w:p>
    <w:p>
      <w:pPr>
        <w:ind w:left="660" w:hanging="328"/>
        <w:spacing w:after="0" w:line="255"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34"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purchaser by means of any of the following communications, the undersigned registrant will be a seller to the purchaser and will be considered to offer or sell such securities to such purchaser:</w:t>
      </w:r>
    </w:p>
    <w:p>
      <w:pPr>
        <w:spacing w:after="0" w:line="108" w:lineRule="exact"/>
        <w:rPr>
          <w:sz w:val="20"/>
          <w:szCs w:val="20"/>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71"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07"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71" w:lineRule="exact"/>
        <w:rPr>
          <w:rFonts w:ascii="Times New Roman" w:cs="Times New Roman" w:eastAsia="Times New Roman" w:hAnsi="Times New Roman"/>
          <w:sz w:val="18"/>
          <w:szCs w:val="18"/>
          <w:color w:val="auto"/>
        </w:rPr>
      </w:pPr>
    </w:p>
    <w:p>
      <w:pPr>
        <w:ind w:left="660" w:hanging="328"/>
        <w:spacing w:after="0" w:line="258"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purposes of determining any liability under the Securities Act, each filing of the annual reports of the Registrant pursuant to Section 13(a) or Section 15(d) of the Exchange Act (and, where applicable, each filing of an employee benefit plan’s annual report pursuant to Section 15(d) of the Exchange Act) that are incorporated by reference in this registration statement, if any, shall be deemed to be a new registration statement relating to the securities offered herein, and the offering of such securities at that time shall be deemed to be the initial bona fide offering thereof;</w:t>
      </w:r>
    </w:p>
    <w:p>
      <w:pPr>
        <w:spacing w:after="0" w:line="129" w:lineRule="exact"/>
        <w:rPr>
          <w:rFonts w:ascii="Times New Roman" w:cs="Times New Roman" w:eastAsia="Times New Roman" w:hAnsi="Times New Roman"/>
          <w:sz w:val="18"/>
          <w:szCs w:val="18"/>
          <w:color w:val="auto"/>
        </w:rPr>
      </w:pPr>
    </w:p>
    <w:p>
      <w:pPr>
        <w:jc w:val="both"/>
        <w:ind w:left="660" w:right="160" w:hanging="328"/>
        <w:spacing w:after="0" w:line="261"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 and</w:t>
      </w:r>
    </w:p>
    <w:p>
      <w:pPr>
        <w:spacing w:after="0" w:line="12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220"/>
          </w:cols>
          <w:pgMar w:left="320" w:top="1440" w:right="35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New York, New York, on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day of March, 2023.</w:t>
      </w:r>
    </w:p>
    <w:p>
      <w:pPr>
        <w:spacing w:after="0" w:line="75"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297" w:lineRule="exact"/>
        <w:rPr>
          <w:sz w:val="20"/>
          <w:szCs w:val="20"/>
          <w:color w:val="auto"/>
        </w:rPr>
      </w:pPr>
    </w:p>
    <w:tbl>
      <w:tblPr>
        <w:tblLayout w:type="fixed"/>
        <w:tblInd w:w="63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Jonah Peretti</w:t>
            </w:r>
          </w:p>
        </w:tc>
      </w:tr>
      <w:tr>
        <w:trPr>
          <w:trHeight w:val="2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Jonah Peretti</w:t>
            </w:r>
          </w:p>
        </w:tc>
      </w:tr>
      <w:tr>
        <w:trPr>
          <w:trHeight w:val="180"/>
        </w:trPr>
        <w:tc>
          <w:tcPr>
            <w:tcW w:w="8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Chairperson of</w:t>
            </w:r>
          </w:p>
        </w:tc>
      </w:tr>
      <w:tr>
        <w:trPr>
          <w:trHeight w:val="234"/>
        </w:trPr>
        <w:tc>
          <w:tcPr>
            <w:tcW w:w="82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Board</w:t>
            </w:r>
          </w:p>
        </w:tc>
      </w:tr>
    </w:tbl>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Jonah Peretti and Felicia DellaFortuna, and each of them, as his or her true and lawful attorneys-in-fact, proxies and agents, each with full power of substitution and resubstitution, for him or her and in his or her name, place and stead, in any and all capacities, to sign any and all amendments to this registration statement, including post-effective amendments and to file the same, with any exhibits thereto and other documents in connection therewith, with the Securities and Exchange Commission, or any state securities department or any other federal or state agency or governmental authority granting unto such attorneys-in-fact, proxies and agents full power and authority to do and perform each and every act and thing requisite and necessary to be done in and about the premises, as fully to all intents and purposes as he might or could do in person, hereby ratifying and confirming all that said attorneys-in-fact, proxies and agents, or their or his or her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00"/>
          </w:cols>
          <w:pgMar w:left="320" w:top="1251" w:right="379" w:bottom="1440" w:gutter="0" w:footer="0" w:header="0"/>
        </w:sectPr>
      </w:pPr>
    </w:p>
    <w:bookmarkStart w:id="48" w:name="page49"/>
    <w:bookmarkEnd w:id="48"/>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20"/>
          </w:cols>
          <w:pgMar w:left="320" w:top="1255" w:right="359" w:bottom="1440" w:gutter="0" w:footer="0" w:header="0"/>
        </w:sectPr>
      </w:pPr>
    </w:p>
    <w:p>
      <w:pPr>
        <w:spacing w:after="0" w:line="14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143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143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Jonah Peretti</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143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Felicia DellaFortuna</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143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Daniel Weinstein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264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121"/>
        </w:trPr>
        <w:tc>
          <w:tcPr>
            <w:tcW w:w="3360" w:type="dxa"/>
            <w:vAlign w:val="bottom"/>
            <w:tcBorders>
              <w:bottom w:val="single" w:sz="8" w:color="auto"/>
            </w:tcBorders>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28"/>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Anjula Acharia</w:t>
            </w:r>
          </w:p>
        </w:tc>
      </w:tr>
      <w:tr>
        <w:trPr>
          <w:trHeight w:val="292"/>
        </w:trPr>
        <w:tc>
          <w:tcPr>
            <w:tcW w:w="720" w:type="dxa"/>
            <w:vAlign w:val="bottom"/>
          </w:tcPr>
          <w:p>
            <w:pPr>
              <w:spacing w:after="0"/>
              <w:rPr>
                <w:sz w:val="24"/>
                <w:szCs w:val="24"/>
                <w:color w:val="auto"/>
              </w:rPr>
            </w:pPr>
          </w:p>
        </w:tc>
        <w:tc>
          <w:tcPr>
            <w:tcW w:w="264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122"/>
        </w:trPr>
        <w:tc>
          <w:tcPr>
            <w:tcW w:w="3360" w:type="dxa"/>
            <w:vAlign w:val="bottom"/>
            <w:tcBorders>
              <w:bottom w:val="single" w:sz="8" w:color="auto"/>
            </w:tcBorders>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28"/>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Joan Amble</w:t>
            </w:r>
          </w:p>
        </w:tc>
      </w:tr>
      <w:tr>
        <w:trPr>
          <w:trHeight w:val="292"/>
        </w:trPr>
        <w:tc>
          <w:tcPr>
            <w:tcW w:w="720" w:type="dxa"/>
            <w:vAlign w:val="bottom"/>
          </w:tcPr>
          <w:p>
            <w:pPr>
              <w:spacing w:after="0"/>
              <w:rPr>
                <w:sz w:val="24"/>
                <w:szCs w:val="24"/>
                <w:color w:val="auto"/>
              </w:rPr>
            </w:pPr>
          </w:p>
        </w:tc>
        <w:tc>
          <w:tcPr>
            <w:tcW w:w="264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122"/>
        </w:trPr>
        <w:tc>
          <w:tcPr>
            <w:tcW w:w="3360" w:type="dxa"/>
            <w:vAlign w:val="bottom"/>
            <w:tcBorders>
              <w:bottom w:val="single" w:sz="8" w:color="auto"/>
            </w:tcBorders>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28"/>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Greg Coleman</w:t>
            </w:r>
          </w:p>
        </w:tc>
      </w:tr>
      <w:tr>
        <w:trPr>
          <w:trHeight w:val="292"/>
        </w:trPr>
        <w:tc>
          <w:tcPr>
            <w:tcW w:w="720" w:type="dxa"/>
            <w:vAlign w:val="bottom"/>
          </w:tcPr>
          <w:p>
            <w:pPr>
              <w:spacing w:after="0"/>
              <w:rPr>
                <w:sz w:val="24"/>
                <w:szCs w:val="24"/>
                <w:color w:val="auto"/>
              </w:rPr>
            </w:pPr>
          </w:p>
        </w:tc>
        <w:tc>
          <w:tcPr>
            <w:tcW w:w="264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121"/>
        </w:trPr>
        <w:tc>
          <w:tcPr>
            <w:tcW w:w="3360" w:type="dxa"/>
            <w:vAlign w:val="bottom"/>
            <w:tcBorders>
              <w:bottom w:val="single" w:sz="8" w:color="auto"/>
            </w:tcBorders>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28"/>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Patrick Kerins</w:t>
            </w:r>
          </w:p>
        </w:tc>
      </w:tr>
      <w:tr>
        <w:trPr>
          <w:trHeight w:val="292"/>
        </w:trPr>
        <w:tc>
          <w:tcPr>
            <w:tcW w:w="720" w:type="dxa"/>
            <w:vAlign w:val="bottom"/>
          </w:tcPr>
          <w:p>
            <w:pPr>
              <w:spacing w:after="0"/>
              <w:rPr>
                <w:sz w:val="24"/>
                <w:szCs w:val="24"/>
                <w:color w:val="auto"/>
              </w:rPr>
            </w:pPr>
          </w:p>
        </w:tc>
        <w:tc>
          <w:tcPr>
            <w:tcW w:w="264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121"/>
        </w:trPr>
        <w:tc>
          <w:tcPr>
            <w:tcW w:w="3360" w:type="dxa"/>
            <w:vAlign w:val="bottom"/>
            <w:tcBorders>
              <w:bottom w:val="single" w:sz="8" w:color="auto"/>
            </w:tcBorders>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28"/>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Janet Rollé</w:t>
            </w:r>
          </w:p>
        </w:tc>
      </w:tr>
      <w:tr>
        <w:trPr>
          <w:trHeight w:val="292"/>
        </w:trPr>
        <w:tc>
          <w:tcPr>
            <w:tcW w:w="720" w:type="dxa"/>
            <w:vAlign w:val="bottom"/>
          </w:tcPr>
          <w:p>
            <w:pPr>
              <w:spacing w:after="0"/>
              <w:rPr>
                <w:sz w:val="24"/>
                <w:szCs w:val="24"/>
                <w:color w:val="auto"/>
              </w:rPr>
            </w:pPr>
          </w:p>
        </w:tc>
        <w:tc>
          <w:tcPr>
            <w:tcW w:w="264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r>
      <w:tr>
        <w:trPr>
          <w:trHeight w:val="121"/>
        </w:trPr>
        <w:tc>
          <w:tcPr>
            <w:tcW w:w="3360" w:type="dxa"/>
            <w:vAlign w:val="bottom"/>
            <w:tcBorders>
              <w:bottom w:val="single" w:sz="8" w:color="auto"/>
            </w:tcBorders>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228"/>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Adam Rothstein</w:t>
            </w:r>
          </w:p>
        </w:tc>
      </w:tr>
      <w:tr>
        <w:trPr>
          <w:trHeight w:val="522"/>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Felicia DellaFortuna</w:t>
            </w:r>
          </w:p>
        </w:tc>
      </w:tr>
      <w:tr>
        <w:trPr>
          <w:trHeight w:val="218"/>
        </w:trPr>
        <w:tc>
          <w:tcPr>
            <w:tcW w:w="720" w:type="dxa"/>
            <w:vAlign w:val="bottom"/>
          </w:tcPr>
          <w:p>
            <w:pPr>
              <w:spacing w:after="0"/>
              <w:rPr>
                <w:sz w:val="18"/>
                <w:szCs w:val="18"/>
                <w:color w:val="auto"/>
              </w:rPr>
            </w:pPr>
          </w:p>
        </w:tc>
        <w:tc>
          <w:tcPr>
            <w:tcW w:w="2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Felicia DellaFortuna</w:t>
            </w:r>
          </w:p>
        </w:tc>
        <w:tc>
          <w:tcPr>
            <w:tcW w:w="2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33655</wp:posOffset>
            </wp:positionV>
            <wp:extent cx="3514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176" w:lineRule="exact"/>
        <w:rPr>
          <w:sz w:val="20"/>
          <w:szCs w:val="20"/>
          <w:color w:val="auto"/>
        </w:rPr>
      </w:pPr>
    </w:p>
    <w:p>
      <w:pPr>
        <w:ind w:right="1840"/>
        <w:spacing w:after="0" w:line="237" w:lineRule="auto"/>
        <w:rPr>
          <w:sz w:val="20"/>
          <w:szCs w:val="20"/>
          <w:color w:val="auto"/>
        </w:rPr>
      </w:pPr>
      <w:r>
        <w:rPr>
          <w:rFonts w:ascii="Times New Roman" w:cs="Times New Roman" w:eastAsia="Times New Roman" w:hAnsi="Times New Roman"/>
          <w:sz w:val="18"/>
          <w:szCs w:val="18"/>
          <w:color w:val="auto"/>
        </w:rPr>
        <w:t>Chief Executive Officer and Chairperson of the Board (</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33655</wp:posOffset>
            </wp:positionV>
            <wp:extent cx="1200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21,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21,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21, 2023</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21,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21,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21,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21,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21,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21, 2023</w:t>
      </w:r>
    </w:p>
    <w:p>
      <w:pPr>
        <w:spacing w:after="0" w:line="1602" w:lineRule="exact"/>
        <w:rPr>
          <w:sz w:val="20"/>
          <w:szCs w:val="20"/>
          <w:color w:val="auto"/>
        </w:rPr>
      </w:pPr>
    </w:p>
    <w:p>
      <w:pPr>
        <w:sectPr>
          <w:pgSz w:w="11900" w:h="16838" w:orient="portrait"/>
          <w:cols w:equalWidth="0" w:num="3">
            <w:col w:w="3380" w:space="240"/>
            <w:col w:w="5740" w:space="720"/>
            <w:col w:w="1140"/>
          </w:cols>
          <w:pgMar w:left="320" w:top="125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20"/>
          </w:cols>
          <w:pgMar w:left="320" w:top="1255" w:right="359" w:bottom="1440" w:gutter="0" w:footer="0" w:header="0"/>
          <w:type w:val="continuous"/>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23"/>
        </w:trPr>
        <w:tc>
          <w:tcPr>
            <w:tcW w:w="8460" w:type="dxa"/>
            <w:vAlign w:val="bottom"/>
            <w:tcBorders>
              <w:right w:val="single" w:sz="8" w:color="F15A5B"/>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BuzzFeed, Inc.</w:t>
            </w:r>
          </w:p>
        </w:tc>
        <w:tc>
          <w:tcPr>
            <w:tcW w:w="2040" w:type="dxa"/>
            <w:vAlign w:val="bottom"/>
          </w:tcPr>
          <w:p>
            <w:pPr>
              <w:ind w:left="160"/>
              <w:spacing w:after="0"/>
              <w:rPr>
                <w:sz w:val="20"/>
                <w:szCs w:val="20"/>
                <w:color w:val="auto"/>
              </w:rPr>
            </w:pPr>
            <w:r>
              <w:rPr>
                <w:rFonts w:ascii="Arial" w:cs="Arial" w:eastAsia="Arial" w:hAnsi="Arial"/>
                <w:sz w:val="13"/>
                <w:szCs w:val="13"/>
                <w:b w:val="1"/>
                <w:bCs w:val="1"/>
                <w:color w:val="auto"/>
              </w:rPr>
              <w:t>New York</w:t>
            </w:r>
          </w:p>
        </w:tc>
        <w:tc>
          <w:tcPr>
            <w:tcW w:w="0" w:type="dxa"/>
            <w:vAlign w:val="bottom"/>
          </w:tcPr>
          <w:p>
            <w:pPr>
              <w:spacing w:after="0"/>
              <w:rPr>
                <w:sz w:val="1"/>
                <w:szCs w:val="1"/>
                <w:color w:val="auto"/>
              </w:rPr>
            </w:pPr>
          </w:p>
        </w:tc>
      </w:tr>
      <w:tr>
        <w:trPr>
          <w:trHeight w:val="76"/>
        </w:trPr>
        <w:tc>
          <w:tcPr>
            <w:tcW w:w="8460" w:type="dxa"/>
            <w:vAlign w:val="bottom"/>
            <w:tcBorders>
              <w:right w:val="single" w:sz="8" w:color="F15A5B"/>
            </w:tcBorders>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8460" w:type="dxa"/>
            <w:vAlign w:val="bottom"/>
            <w:tcBorders>
              <w:right w:val="single" w:sz="8" w:color="F15A5B"/>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229 West 43rd Street, 10th Floor</w:t>
            </w:r>
          </w:p>
        </w:tc>
        <w:tc>
          <w:tcPr>
            <w:tcW w:w="2040" w:type="dxa"/>
            <w:vAlign w:val="bottom"/>
          </w:tcPr>
          <w:p>
            <w:pPr>
              <w:ind w:left="160"/>
              <w:spacing w:after="0"/>
              <w:rPr>
                <w:sz w:val="20"/>
                <w:szCs w:val="20"/>
                <w:color w:val="auto"/>
              </w:rPr>
            </w:pPr>
            <w:r>
              <w:rPr>
                <w:rFonts w:ascii="Arial" w:cs="Arial" w:eastAsia="Arial" w:hAnsi="Arial"/>
                <w:sz w:val="13"/>
                <w:szCs w:val="13"/>
                <w:color w:val="auto"/>
                <w:w w:val="95"/>
              </w:rPr>
              <w:t>601 Lexington Avenue, 31st Floor</w:t>
            </w:r>
          </w:p>
        </w:tc>
        <w:tc>
          <w:tcPr>
            <w:tcW w:w="0" w:type="dxa"/>
            <w:vAlign w:val="bottom"/>
          </w:tcPr>
          <w:p>
            <w:pPr>
              <w:spacing w:after="0"/>
              <w:rPr>
                <w:sz w:val="1"/>
                <w:szCs w:val="1"/>
                <w:color w:val="auto"/>
              </w:rPr>
            </w:pPr>
          </w:p>
        </w:tc>
      </w:tr>
      <w:tr>
        <w:trPr>
          <w:trHeight w:val="166"/>
        </w:trPr>
        <w:tc>
          <w:tcPr>
            <w:tcW w:w="8460" w:type="dxa"/>
            <w:vAlign w:val="bottom"/>
            <w:tcBorders>
              <w:right w:val="single" w:sz="8" w:color="F15A5B"/>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New York, New York 10036</w:t>
            </w:r>
          </w:p>
        </w:tc>
        <w:tc>
          <w:tcPr>
            <w:tcW w:w="2040" w:type="dxa"/>
            <w:vAlign w:val="bottom"/>
          </w:tcPr>
          <w:p>
            <w:pPr>
              <w:ind w:left="160"/>
              <w:spacing w:after="0"/>
              <w:rPr>
                <w:sz w:val="20"/>
                <w:szCs w:val="20"/>
                <w:color w:val="auto"/>
              </w:rPr>
            </w:pPr>
            <w:r>
              <w:rPr>
                <w:rFonts w:ascii="Arial" w:cs="Arial" w:eastAsia="Arial" w:hAnsi="Arial"/>
                <w:sz w:val="13"/>
                <w:szCs w:val="13"/>
                <w:color w:val="auto"/>
              </w:rPr>
              <w:t>New York, NY 10022</w:t>
            </w:r>
          </w:p>
        </w:tc>
        <w:tc>
          <w:tcPr>
            <w:tcW w:w="0" w:type="dxa"/>
            <w:vAlign w:val="bottom"/>
          </w:tcPr>
          <w:p>
            <w:pPr>
              <w:spacing w:after="0"/>
              <w:rPr>
                <w:sz w:val="1"/>
                <w:szCs w:val="1"/>
                <w:color w:val="auto"/>
              </w:rPr>
            </w:pPr>
          </w:p>
        </w:tc>
      </w:tr>
      <w:tr>
        <w:trPr>
          <w:trHeight w:val="77"/>
        </w:trPr>
        <w:tc>
          <w:tcPr>
            <w:tcW w:w="8460" w:type="dxa"/>
            <w:vAlign w:val="bottom"/>
            <w:tcBorders>
              <w:right w:val="single" w:sz="8" w:color="F15A5B"/>
            </w:tcBorders>
            <w:vMerge w:val="continue"/>
          </w:tcPr>
          <w:p>
            <w:pPr>
              <w:spacing w:after="0"/>
              <w:rPr>
                <w:sz w:val="6"/>
                <w:szCs w:val="6"/>
                <w:color w:val="auto"/>
              </w:rPr>
            </w:pPr>
          </w:p>
        </w:tc>
        <w:tc>
          <w:tcPr>
            <w:tcW w:w="204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 xml:space="preserve">T  </w:t>
            </w:r>
            <w:r>
              <w:rPr>
                <w:rFonts w:ascii="Arial" w:cs="Arial" w:eastAsia="Arial" w:hAnsi="Arial"/>
                <w:sz w:val="13"/>
                <w:szCs w:val="13"/>
                <w:color w:val="auto"/>
              </w:rPr>
              <w:t>+1 (212) 277-4000</w:t>
            </w:r>
          </w:p>
        </w:tc>
        <w:tc>
          <w:tcPr>
            <w:tcW w:w="0" w:type="dxa"/>
            <w:vAlign w:val="bottom"/>
          </w:tcPr>
          <w:p>
            <w:pPr>
              <w:spacing w:after="0"/>
              <w:rPr>
                <w:sz w:val="1"/>
                <w:szCs w:val="1"/>
                <w:color w:val="auto"/>
              </w:rPr>
            </w:pPr>
          </w:p>
        </w:tc>
      </w:tr>
      <w:tr>
        <w:trPr>
          <w:trHeight w:val="131"/>
        </w:trPr>
        <w:tc>
          <w:tcPr>
            <w:tcW w:w="8460" w:type="dxa"/>
            <w:vAlign w:val="bottom"/>
            <w:tcBorders>
              <w:right w:val="single" w:sz="8" w:color="F15A5B"/>
            </w:tcBorders>
          </w:tcPr>
          <w:p>
            <w:pPr>
              <w:spacing w:after="0"/>
              <w:rPr>
                <w:sz w:val="11"/>
                <w:szCs w:val="11"/>
                <w:color w:val="auto"/>
              </w:rPr>
            </w:pP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60" w:type="dxa"/>
            <w:vAlign w:val="bottom"/>
            <w:tcBorders>
              <w:right w:val="single" w:sz="8" w:color="F15A5B"/>
            </w:tcBorders>
          </w:tcPr>
          <w:p>
            <w:pPr>
              <w:spacing w:after="0"/>
              <w:rPr>
                <w:sz w:val="12"/>
                <w:szCs w:val="12"/>
                <w:color w:val="auto"/>
              </w:rPr>
            </w:pPr>
          </w:p>
        </w:tc>
        <w:tc>
          <w:tcPr>
            <w:tcW w:w="2040" w:type="dxa"/>
            <w:vAlign w:val="bottom"/>
          </w:tcPr>
          <w:p>
            <w:pPr>
              <w:ind w:left="160"/>
              <w:spacing w:after="0"/>
              <w:rPr>
                <w:sz w:val="20"/>
                <w:szCs w:val="20"/>
                <w:color w:val="auto"/>
              </w:rPr>
            </w:pPr>
            <w:r>
              <w:rPr>
                <w:rFonts w:ascii="Arial" w:cs="Arial" w:eastAsia="Arial" w:hAnsi="Arial"/>
                <w:sz w:val="13"/>
                <w:szCs w:val="13"/>
                <w:b w:val="1"/>
                <w:bCs w:val="1"/>
                <w:color w:val="auto"/>
              </w:rPr>
              <w:t xml:space="preserve">F  </w:t>
            </w:r>
            <w:r>
              <w:rPr>
                <w:rFonts w:ascii="Arial" w:cs="Arial" w:eastAsia="Arial" w:hAnsi="Arial"/>
                <w:sz w:val="13"/>
                <w:szCs w:val="13"/>
                <w:color w:val="auto"/>
              </w:rPr>
              <w:t>+1 (646) 521-5726</w:t>
            </w:r>
          </w:p>
        </w:tc>
        <w:tc>
          <w:tcPr>
            <w:tcW w:w="0" w:type="dxa"/>
            <w:vAlign w:val="bottom"/>
          </w:tcPr>
          <w:p>
            <w:pPr>
              <w:spacing w:after="0"/>
              <w:rPr>
                <w:sz w:val="1"/>
                <w:szCs w:val="1"/>
                <w:color w:val="auto"/>
              </w:rPr>
            </w:pPr>
          </w:p>
        </w:tc>
      </w:tr>
      <w:tr>
        <w:trPr>
          <w:trHeight w:val="172"/>
        </w:trPr>
        <w:tc>
          <w:tcPr>
            <w:tcW w:w="8460" w:type="dxa"/>
            <w:vAlign w:val="bottom"/>
            <w:tcBorders>
              <w:right w:val="single" w:sz="8" w:color="F15A5B"/>
            </w:tcBorders>
          </w:tcPr>
          <w:p>
            <w:pPr>
              <w:spacing w:after="0"/>
              <w:rPr>
                <w:sz w:val="14"/>
                <w:szCs w:val="14"/>
                <w:color w:val="auto"/>
              </w:rPr>
            </w:pPr>
          </w:p>
        </w:tc>
        <w:tc>
          <w:tcPr>
            <w:tcW w:w="2040" w:type="dxa"/>
            <w:vAlign w:val="bottom"/>
          </w:tcPr>
          <w:p>
            <w:pPr>
              <w:ind w:left="160"/>
              <w:spacing w:after="0"/>
              <w:rPr>
                <w:sz w:val="20"/>
                <w:szCs w:val="20"/>
                <w:color w:val="auto"/>
              </w:rPr>
            </w:pPr>
            <w:r>
              <w:rPr>
                <w:rFonts w:ascii="Arial" w:cs="Arial" w:eastAsia="Arial" w:hAnsi="Arial"/>
                <w:sz w:val="13"/>
                <w:szCs w:val="13"/>
                <w:b w:val="1"/>
                <w:bCs w:val="1"/>
                <w:color w:val="auto"/>
                <w:w w:val="98"/>
              </w:rPr>
              <w:t xml:space="preserve">E  </w:t>
            </w:r>
            <w:r>
              <w:rPr>
                <w:rFonts w:ascii="Arial" w:cs="Arial" w:eastAsia="Arial" w:hAnsi="Arial"/>
                <w:sz w:val="13"/>
                <w:szCs w:val="13"/>
                <w:color w:val="auto"/>
                <w:w w:val="98"/>
              </w:rPr>
              <w:t>valerie.jacob@freshfields.com</w:t>
            </w:r>
          </w:p>
        </w:tc>
        <w:tc>
          <w:tcPr>
            <w:tcW w:w="0" w:type="dxa"/>
            <w:vAlign w:val="bottom"/>
          </w:tcPr>
          <w:p>
            <w:pPr>
              <w:spacing w:after="0"/>
              <w:rPr>
                <w:sz w:val="1"/>
                <w:szCs w:val="1"/>
                <w:color w:val="auto"/>
              </w:rPr>
            </w:pPr>
          </w:p>
        </w:tc>
      </w:tr>
      <w:tr>
        <w:trPr>
          <w:trHeight w:val="176"/>
        </w:trPr>
        <w:tc>
          <w:tcPr>
            <w:tcW w:w="8460" w:type="dxa"/>
            <w:vAlign w:val="bottom"/>
            <w:tcBorders>
              <w:right w:val="single" w:sz="8" w:color="F15A5B"/>
            </w:tcBorders>
          </w:tcPr>
          <w:p>
            <w:pPr>
              <w:spacing w:after="0"/>
              <w:rPr>
                <w:sz w:val="15"/>
                <w:szCs w:val="15"/>
                <w:color w:val="auto"/>
              </w:rPr>
            </w:pPr>
          </w:p>
        </w:tc>
        <w:tc>
          <w:tcPr>
            <w:tcW w:w="2040" w:type="dxa"/>
            <w:vAlign w:val="bottom"/>
          </w:tcPr>
          <w:p>
            <w:pPr>
              <w:ind w:left="160"/>
              <w:spacing w:after="0"/>
              <w:rPr>
                <w:sz w:val="20"/>
                <w:szCs w:val="20"/>
                <w:color w:val="auto"/>
              </w:rPr>
            </w:pPr>
            <w:r>
              <w:rPr>
                <w:rFonts w:ascii="Arial" w:cs="Arial" w:eastAsia="Arial" w:hAnsi="Arial"/>
                <w:sz w:val="13"/>
                <w:szCs w:val="13"/>
                <w:b w:val="1"/>
                <w:bCs w:val="1"/>
                <w:color w:val="auto"/>
                <w:w w:val="97"/>
              </w:rPr>
              <w:t xml:space="preserve">E  </w:t>
            </w:r>
            <w:r>
              <w:rPr>
                <w:rFonts w:ascii="Arial" w:cs="Arial" w:eastAsia="Arial" w:hAnsi="Arial"/>
                <w:sz w:val="13"/>
                <w:szCs w:val="13"/>
                <w:color w:val="auto"/>
                <w:w w:val="97"/>
              </w:rPr>
              <w:t>michael.levitt@freshfields.com</w:t>
            </w:r>
          </w:p>
        </w:tc>
        <w:tc>
          <w:tcPr>
            <w:tcW w:w="0" w:type="dxa"/>
            <w:vAlign w:val="bottom"/>
          </w:tcPr>
          <w:p>
            <w:pPr>
              <w:spacing w:after="0"/>
              <w:rPr>
                <w:sz w:val="1"/>
                <w:szCs w:val="1"/>
                <w:color w:val="auto"/>
              </w:rPr>
            </w:pPr>
          </w:p>
        </w:tc>
      </w:tr>
      <w:tr>
        <w:trPr>
          <w:trHeight w:val="562"/>
        </w:trPr>
        <w:tc>
          <w:tcPr>
            <w:tcW w:w="8460" w:type="dxa"/>
            <w:vAlign w:val="bottom"/>
            <w:tcBorders>
              <w:right w:val="single" w:sz="8" w:color="F15A5B"/>
            </w:tcBorders>
          </w:tcPr>
          <w:p>
            <w:pPr>
              <w:spacing w:after="0"/>
              <w:rPr>
                <w:sz w:val="24"/>
                <w:szCs w:val="24"/>
                <w:color w:val="auto"/>
              </w:rPr>
            </w:pPr>
          </w:p>
        </w:tc>
        <w:tc>
          <w:tcPr>
            <w:tcW w:w="2040" w:type="dxa"/>
            <w:vAlign w:val="bottom"/>
          </w:tcPr>
          <w:p>
            <w:pPr>
              <w:ind w:left="160"/>
              <w:spacing w:after="0"/>
              <w:rPr>
                <w:sz w:val="20"/>
                <w:szCs w:val="20"/>
                <w:color w:val="auto"/>
              </w:rPr>
            </w:pPr>
            <w:r>
              <w:rPr>
                <w:rFonts w:ascii="Arial" w:cs="Arial" w:eastAsia="Arial" w:hAnsi="Arial"/>
                <w:sz w:val="13"/>
                <w:szCs w:val="13"/>
                <w:b w:val="1"/>
                <w:bCs w:val="1"/>
                <w:color w:val="auto"/>
              </w:rPr>
              <w:t>freshfields.us</w:t>
            </w:r>
          </w:p>
        </w:tc>
        <w:tc>
          <w:tcPr>
            <w:tcW w:w="0" w:type="dxa"/>
            <w:vAlign w:val="bottom"/>
          </w:tcPr>
          <w:p>
            <w:pPr>
              <w:spacing w:after="0"/>
              <w:rPr>
                <w:sz w:val="1"/>
                <w:szCs w:val="1"/>
                <w:color w:val="auto"/>
              </w:rPr>
            </w:pPr>
          </w:p>
        </w:tc>
      </w:tr>
      <w:tr>
        <w:trPr>
          <w:trHeight w:val="473"/>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March 21, 2023</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Ladies and Gentlemen:</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-2485390</wp:posOffset>
            </wp:positionV>
            <wp:extent cx="565785"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565785" cy="565785"/>
                    </a:xfrm>
                    <a:prstGeom prst="rect">
                      <a:avLst/>
                    </a:prstGeom>
                    <a:noFill/>
                  </pic:spPr>
                </pic:pic>
              </a:graphicData>
            </a:graphic>
          </wp:anchor>
        </w:drawing>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are acting as counsel to BuzzFeed,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in connection with the Company’s Post-Effective Amendment No. 3 to the Registration Statement on Form S-1 on Form S-3 (as amended or supplemented from time to time,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which term does not include any other document or agreement whether or not specifically referred to therein or attached as an exhibit or schedule thereto), filed by the Company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xml:space="preserve">). The Registration Statement relates to (1) the offer and resale from time to time as described in the Registration Statement by the selling securityholders defined and listed in the Registration Statement (the </w:t>
      </w:r>
      <w:r>
        <w:rPr>
          <w:rFonts w:ascii="Times New Roman" w:cs="Times New Roman" w:eastAsia="Times New Roman" w:hAnsi="Times New Roman"/>
          <w:sz w:val="18"/>
          <w:szCs w:val="18"/>
          <w:b w:val="1"/>
          <w:bCs w:val="1"/>
          <w:i w:val="1"/>
          <w:iCs w:val="1"/>
          <w:color w:val="auto"/>
        </w:rPr>
        <w:t>Selling Securityholders</w:t>
      </w:r>
      <w:r>
        <w:rPr>
          <w:rFonts w:ascii="Times New Roman" w:cs="Times New Roman" w:eastAsia="Times New Roman" w:hAnsi="Times New Roman"/>
          <w:sz w:val="18"/>
          <w:szCs w:val="18"/>
          <w:color w:val="auto"/>
        </w:rPr>
        <w:t xml:space="preserve">) of up to an aggregate of 94,214,674 shares of the Company’s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xml:space="preserve">) as described in the Registration Statement consisting of (a) 91,947,956 shares of Class A common stock (including 85,510,540 shares of issued and outstanding Class A common stock (the </w:t>
      </w:r>
      <w:r>
        <w:rPr>
          <w:rFonts w:ascii="Times New Roman" w:cs="Times New Roman" w:eastAsia="Times New Roman" w:hAnsi="Times New Roman"/>
          <w:sz w:val="18"/>
          <w:szCs w:val="18"/>
          <w:b w:val="1"/>
          <w:bCs w:val="1"/>
          <w:i w:val="1"/>
          <w:iCs w:val="1"/>
          <w:color w:val="auto"/>
        </w:rPr>
        <w:t>Class A Shares</w:t>
      </w:r>
      <w:r>
        <w:rPr>
          <w:rFonts w:ascii="Times New Roman" w:cs="Times New Roman" w:eastAsia="Times New Roman" w:hAnsi="Times New Roman"/>
          <w:sz w:val="18"/>
          <w:szCs w:val="18"/>
          <w:color w:val="auto"/>
        </w:rPr>
        <w:t xml:space="preserve">) and 6,437,416 shares of Class A common stock (the </w:t>
      </w:r>
      <w:r>
        <w:rPr>
          <w:rFonts w:ascii="Times New Roman" w:cs="Times New Roman" w:eastAsia="Times New Roman" w:hAnsi="Times New Roman"/>
          <w:sz w:val="18"/>
          <w:szCs w:val="18"/>
          <w:b w:val="1"/>
          <w:bCs w:val="1"/>
          <w:i w:val="1"/>
          <w:iCs w:val="1"/>
          <w:color w:val="auto"/>
        </w:rPr>
        <w:t>Class B Shares</w:t>
      </w:r>
      <w:r>
        <w:rPr>
          <w:rFonts w:ascii="Times New Roman" w:cs="Times New Roman" w:eastAsia="Times New Roman" w:hAnsi="Times New Roman"/>
          <w:sz w:val="18"/>
          <w:szCs w:val="18"/>
          <w:color w:val="auto"/>
        </w:rPr>
        <w:t>) issuable upon conversion of shares of Class B common stock, par value $0.0001 per share (the</w:t>
      </w:r>
      <w:r>
        <w:rPr>
          <w:rFonts w:ascii="Times New Roman" w:cs="Times New Roman" w:eastAsia="Times New Roman" w:hAnsi="Times New Roman"/>
          <w:sz w:val="18"/>
          <w:szCs w:val="18"/>
          <w:b w:val="1"/>
          <w:bCs w:val="1"/>
          <w:i w:val="1"/>
          <w:iCs w:val="1"/>
          <w:color w:val="auto"/>
        </w:rPr>
        <w:t xml:space="preserve"> Class B common stock</w:t>
      </w:r>
      <w:r>
        <w:rPr>
          <w:rFonts w:ascii="Times New Roman" w:cs="Times New Roman" w:eastAsia="Times New Roman" w:hAnsi="Times New Roman"/>
          <w:sz w:val="18"/>
          <w:szCs w:val="18"/>
          <w:color w:val="auto"/>
        </w:rPr>
        <w:t>) and shares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registered pursuant to that certain Registration Rights Agreement (as defined in the Registration Statement)) (collectively, the </w:t>
      </w:r>
      <w:r>
        <w:rPr>
          <w:rFonts w:ascii="Times New Roman" w:cs="Times New Roman" w:eastAsia="Times New Roman" w:hAnsi="Times New Roman"/>
          <w:sz w:val="18"/>
          <w:szCs w:val="18"/>
          <w:b w:val="1"/>
          <w:bCs w:val="1"/>
          <w:i w:val="1"/>
          <w:iCs w:val="1"/>
          <w:color w:val="auto"/>
        </w:rPr>
        <w:t>BuzzFeed Shares</w:t>
      </w:r>
      <w:r>
        <w:rPr>
          <w:rFonts w:ascii="Times New Roman" w:cs="Times New Roman" w:eastAsia="Times New Roman" w:hAnsi="Times New Roman"/>
          <w:sz w:val="18"/>
          <w:szCs w:val="18"/>
          <w:color w:val="auto"/>
        </w:rPr>
        <w:t xml:space="preserve">)) and (b) 2,266,718 shares of Class A common stock (the </w:t>
      </w:r>
      <w:r>
        <w:rPr>
          <w:rFonts w:ascii="Times New Roman" w:cs="Times New Roman" w:eastAsia="Times New Roman" w:hAnsi="Times New Roman"/>
          <w:sz w:val="18"/>
          <w:szCs w:val="18"/>
          <w:b w:val="1"/>
          <w:bCs w:val="1"/>
          <w:i w:val="1"/>
          <w:iCs w:val="1"/>
          <w:color w:val="auto"/>
        </w:rPr>
        <w:t>BuzzFeed Equity Award Shares</w:t>
      </w:r>
      <w:r>
        <w:rPr>
          <w:rFonts w:ascii="Times New Roman" w:cs="Times New Roman" w:eastAsia="Times New Roman" w:hAnsi="Times New Roman"/>
          <w:sz w:val="18"/>
          <w:szCs w:val="18"/>
          <w:color w:val="auto"/>
        </w:rPr>
        <w:t xml:space="preserve">) that are issuable following the exercise or settlement of certain stock options and restricted stock units (the BuzzFeed Equity Awards); (2) 15,637,500 shares of Class A common stock (the </w:t>
      </w:r>
      <w:r>
        <w:rPr>
          <w:rFonts w:ascii="Times New Roman" w:cs="Times New Roman" w:eastAsia="Times New Roman" w:hAnsi="Times New Roman"/>
          <w:sz w:val="18"/>
          <w:szCs w:val="18"/>
          <w:b w:val="1"/>
          <w:bCs w:val="1"/>
          <w:i w:val="1"/>
          <w:iCs w:val="1"/>
          <w:color w:val="auto"/>
        </w:rPr>
        <w:t>Convertible Note Shares</w:t>
      </w:r>
      <w:r>
        <w:rPr>
          <w:rFonts w:ascii="Times New Roman" w:cs="Times New Roman" w:eastAsia="Times New Roman" w:hAnsi="Times New Roman"/>
          <w:sz w:val="18"/>
          <w:szCs w:val="18"/>
          <w:color w:val="auto"/>
        </w:rPr>
        <w:t xml:space="preserve">) that are issuable upon the conversion of certain convertible senior notes of the Company (the </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xml:space="preserve">); and (3) 9,875,833 shares of Class A common stock issuable upon the exercise of warrants to purchase Class A common stock, consisting of (i) up to 9,583,333 shares of Class A common stock (the </w:t>
      </w:r>
      <w:r>
        <w:rPr>
          <w:rFonts w:ascii="Times New Roman" w:cs="Times New Roman" w:eastAsia="Times New Roman" w:hAnsi="Times New Roman"/>
          <w:sz w:val="18"/>
          <w:szCs w:val="18"/>
          <w:b w:val="1"/>
          <w:bCs w:val="1"/>
          <w:i w:val="1"/>
          <w:iCs w:val="1"/>
          <w:color w:val="auto"/>
        </w:rPr>
        <w:t>Public Warrant Shares</w:t>
      </w:r>
      <w:r>
        <w:rPr>
          <w:rFonts w:ascii="Times New Roman" w:cs="Times New Roman" w:eastAsia="Times New Roman" w:hAnsi="Times New Roman"/>
          <w:sz w:val="18"/>
          <w:szCs w:val="18"/>
          <w:color w:val="auto"/>
        </w:rPr>
        <w:t>) that are issuable upon the exercise of warrants originally issued in the Company’s initial public offering (the</w:t>
      </w:r>
      <w:r>
        <w:rPr>
          <w:rFonts w:ascii="Times New Roman" w:cs="Times New Roman" w:eastAsia="Times New Roman" w:hAnsi="Times New Roman"/>
          <w:sz w:val="18"/>
          <w:szCs w:val="18"/>
          <w:b w:val="1"/>
          <w:bCs w:val="1"/>
          <w:i w:val="1"/>
          <w:iCs w:val="1"/>
          <w:color w:val="auto"/>
        </w:rPr>
        <w:t xml:space="preserve"> Public Warrants</w:t>
      </w:r>
      <w:r>
        <w:rPr>
          <w:rFonts w:ascii="Times New Roman" w:cs="Times New Roman" w:eastAsia="Times New Roman" w:hAnsi="Times New Roman"/>
          <w:sz w:val="18"/>
          <w:szCs w:val="18"/>
          <w:color w:val="auto"/>
        </w:rPr>
        <w:t>); (ii)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up to 259,167 shares of Class A common stock (the </w:t>
      </w:r>
      <w:r>
        <w:rPr>
          <w:rFonts w:ascii="Times New Roman" w:cs="Times New Roman" w:eastAsia="Times New Roman" w:hAnsi="Times New Roman"/>
          <w:sz w:val="18"/>
          <w:szCs w:val="18"/>
          <w:b w:val="1"/>
          <w:bCs w:val="1"/>
          <w:i w:val="1"/>
          <w:iCs w:val="1"/>
          <w:color w:val="auto"/>
        </w:rPr>
        <w:t>Private Placement Warrant Shares</w:t>
      </w:r>
      <w:r>
        <w:rPr>
          <w:rFonts w:ascii="Times New Roman" w:cs="Times New Roman" w:eastAsia="Times New Roman" w:hAnsi="Times New Roman"/>
          <w:sz w:val="18"/>
          <w:szCs w:val="18"/>
          <w:color w:val="auto"/>
        </w:rPr>
        <w:t xml:space="preserve">) that are issuable upon the exercise of private placement warrants (the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xml:space="preserve">); and (iii) up to 33,333 shares of Class A common stock (the </w:t>
      </w:r>
      <w:r>
        <w:rPr>
          <w:rFonts w:ascii="Times New Roman" w:cs="Times New Roman" w:eastAsia="Times New Roman" w:hAnsi="Times New Roman"/>
          <w:sz w:val="18"/>
          <w:szCs w:val="18"/>
          <w:b w:val="1"/>
          <w:bCs w:val="1"/>
          <w:i w:val="1"/>
          <w:iCs w:val="1"/>
          <w:color w:val="auto"/>
        </w:rPr>
        <w:t>Working Capital Warrant Shares</w:t>
      </w:r>
      <w:r>
        <w:rPr>
          <w:rFonts w:ascii="Times New Roman" w:cs="Times New Roman" w:eastAsia="Times New Roman" w:hAnsi="Times New Roman"/>
          <w:sz w:val="18"/>
          <w:szCs w:val="18"/>
          <w:color w:val="auto"/>
        </w:rPr>
        <w:t xml:space="preserve"> and, together with the Public Warrant Shares and the Private Placement Warrant Shares,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xml:space="preserve">) that are issuable upon the exercise of working capital warrants (the </w:t>
      </w:r>
      <w:r>
        <w:rPr>
          <w:rFonts w:ascii="Times New Roman" w:cs="Times New Roman" w:eastAsia="Times New Roman" w:hAnsi="Times New Roman"/>
          <w:sz w:val="18"/>
          <w:szCs w:val="18"/>
          <w:b w:val="1"/>
          <w:bCs w:val="1"/>
          <w:i w:val="1"/>
          <w:iCs w:val="1"/>
          <w:color w:val="auto"/>
        </w:rPr>
        <w:t xml:space="preserve">Working Capital Warrants </w:t>
      </w:r>
      <w:r>
        <w:rPr>
          <w:rFonts w:ascii="Times New Roman" w:cs="Times New Roman" w:eastAsia="Times New Roman" w:hAnsi="Times New Roman"/>
          <w:sz w:val="18"/>
          <w:szCs w:val="18"/>
          <w:color w:val="auto"/>
        </w:rPr>
        <w:t>and, together with the Public Warrants and the Private Placement Warrants, the</w:t>
      </w:r>
      <w:r>
        <w:rPr>
          <w:rFonts w:ascii="Times New Roman" w:cs="Times New Roman" w:eastAsia="Times New Roman" w:hAnsi="Times New Roman"/>
          <w:sz w:val="18"/>
          <w:szCs w:val="18"/>
          <w:b w:val="1"/>
          <w:bCs w:val="1"/>
          <w:i w:val="1"/>
          <w:iCs w:val="1"/>
          <w:color w:val="auto"/>
        </w:rPr>
        <w:t xml:space="preserve"> Warrants</w:t>
      </w:r>
      <w:r>
        <w:rPr>
          <w:rFonts w:ascii="Times New Roman" w:cs="Times New Roman" w:eastAsia="Times New Roman" w:hAnsi="Times New Roman"/>
          <w:sz w:val="18"/>
          <w:szCs w:val="18"/>
          <w:color w:val="auto"/>
        </w:rPr>
        <w:t>); and (4) the offer and resale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of the Selling Securityholders of up to 98,332 warrants to purchase shares of Class A common stock, consisting of (a) 64,999 Private Placement Warrants and (b) 33,333 Working Capital Warrants.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is confined to the General Corporation Law of the State of Delaware and the law of the State of New York, each as currently in effect. Accordingly, we express no opinion herein with regard to any other laws. The opinions expressed herein are limited to the matters stated herein, and no opinion is implied or may be inferred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749300</wp:posOffset>
            </wp:positionV>
            <wp:extent cx="1156970" cy="266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115697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spacing w:after="0" w:line="274" w:lineRule="auto"/>
        <w:rPr>
          <w:sz w:val="20"/>
          <w:szCs w:val="20"/>
          <w:color w:val="auto"/>
        </w:rPr>
      </w:pPr>
      <w:r>
        <w:rPr>
          <w:rFonts w:ascii="Arial" w:cs="Arial" w:eastAsia="Arial" w:hAnsi="Arial"/>
          <w:sz w:val="10"/>
          <w:szCs w:val="10"/>
          <w:color w:val="auto"/>
        </w:rPr>
        <w:t>Freshfields Bruckhaus Deringer is an international legal practice operating through Freshfields Bruckhaus Deringer US LLP, Freshfields Bruckhaus Deringer LLP, Freshfields Bruckhaus Deringer (a partnership registered in Hong Kong), Freshfields Bruckhaus Deringer Law office, Freshfields Bruckhaus Deringer Foreign Law Office, Studio Legale associato a Freshfields Bruckhaus Deringer, Freshfields Bruckhaus Deringer Rechtsanwälte Steuerberater PartG mbB,</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Freshfields Bruckhaus Deringer Rechtsanwälte PartG mbB and other associated entities and undertakings. For further regulatory information please refer to </w:t>
      </w:r>
      <w:r>
        <w:rPr>
          <w:rFonts w:ascii="Arial" w:cs="Arial" w:eastAsia="Arial" w:hAnsi="Arial"/>
          <w:sz w:val="11"/>
          <w:szCs w:val="11"/>
          <w:color w:val="3051F2"/>
        </w:rPr>
        <w:t>www.freshfields.com/support/legal-notice</w:t>
      </w:r>
      <w:r>
        <w:rPr>
          <w:rFonts w:ascii="Arial" w:cs="Arial" w:eastAsia="Arial" w:hAnsi="Arial"/>
          <w:sz w:val="11"/>
          <w:szCs w:val="11"/>
          <w:color w:val="auto"/>
        </w:rPr>
        <w:t>.</w:t>
      </w:r>
    </w:p>
    <w:p>
      <w:pPr>
        <w:sectPr>
          <w:pgSz w:w="11900" w:h="16838" w:orient="portrait"/>
          <w:cols w:equalWidth="0" w:num="1">
            <w:col w:w="11240"/>
          </w:cols>
          <w:pgMar w:left="320" w:top="13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3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beyond the matters expressly stated herein. We do not undertake to advise you of changes in law or facts that may come to our attention after the date of this letter.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rendering the opinion expressed below, we have examined the following documents and agreements:</w:t>
      </w:r>
    </w:p>
    <w:p>
      <w:pPr>
        <w:spacing w:after="0" w:line="171" w:lineRule="exact"/>
        <w:rPr>
          <w:sz w:val="20"/>
          <w:szCs w:val="20"/>
          <w:color w:val="auto"/>
        </w:rPr>
      </w:pPr>
    </w:p>
    <w:p>
      <w:pPr>
        <w:ind w:left="1300" w:hanging="315"/>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71" w:lineRule="exact"/>
        <w:rPr>
          <w:rFonts w:ascii="Times New Roman" w:cs="Times New Roman" w:eastAsia="Times New Roman" w:hAnsi="Times New Roman"/>
          <w:sz w:val="18"/>
          <w:szCs w:val="18"/>
          <w:color w:val="auto"/>
        </w:rPr>
      </w:pPr>
    </w:p>
    <w:p>
      <w:pPr>
        <w:ind w:left="1300" w:hanging="315"/>
        <w:spacing w:after="0" w:line="282" w:lineRule="auto"/>
        <w:tabs>
          <w:tab w:leader="none" w:pos="131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and Plan of Merger, dated as of June 24, 2021, by and among 890 5th Avenue Partners, Inc., Bolt Merger Sub I, Inc., Bolt Merger Sub II, Inc., and BuzzFeed, Inc.;</w:t>
      </w:r>
    </w:p>
    <w:p>
      <w:pPr>
        <w:spacing w:after="0" w:line="107" w:lineRule="exact"/>
        <w:rPr>
          <w:rFonts w:ascii="Times New Roman" w:cs="Times New Roman" w:eastAsia="Times New Roman" w:hAnsi="Times New Roman"/>
          <w:sz w:val="18"/>
          <w:szCs w:val="18"/>
          <w:color w:val="auto"/>
        </w:rPr>
      </w:pPr>
    </w:p>
    <w:p>
      <w:pPr>
        <w:ind w:left="1300" w:hanging="315"/>
        <w:spacing w:after="0" w:line="282" w:lineRule="auto"/>
        <w:tabs>
          <w:tab w:leader="none" w:pos="129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No. 1 to Agreement and Plan of Merger, dated as of October 28, 2021, by and among 890 5th Avenue Partners, Inc., Bolt Merger Sub I, Inc., Bolt Merger Sub II, Inc., and BuzzFeed, Inc.;</w:t>
      </w:r>
    </w:p>
    <w:p>
      <w:pPr>
        <w:spacing w:after="0" w:line="107" w:lineRule="exact"/>
        <w:rPr>
          <w:rFonts w:ascii="Times New Roman" w:cs="Times New Roman" w:eastAsia="Times New Roman" w:hAnsi="Times New Roman"/>
          <w:sz w:val="18"/>
          <w:szCs w:val="18"/>
          <w:color w:val="auto"/>
        </w:rPr>
      </w:pPr>
    </w:p>
    <w:p>
      <w:pPr>
        <w:ind w:left="1300" w:right="20" w:hanging="315"/>
        <w:spacing w:after="0" w:line="282" w:lineRule="auto"/>
        <w:tabs>
          <w:tab w:leader="none" w:pos="13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Membership Interest Purchase Agreement, dated as of March 27, 2021, by and among BuzzFeed, Inc., CM Partners, LLC, Complex Media, Inc., Verizon CMP Holdings LLC and HDS II, Inc.;</w:t>
      </w:r>
    </w:p>
    <w:p>
      <w:pPr>
        <w:spacing w:after="0" w:line="107" w:lineRule="exact"/>
        <w:rPr>
          <w:rFonts w:ascii="Times New Roman" w:cs="Times New Roman" w:eastAsia="Times New Roman" w:hAnsi="Times New Roman"/>
          <w:sz w:val="18"/>
          <w:szCs w:val="18"/>
          <w:color w:val="auto"/>
        </w:rPr>
      </w:pPr>
    </w:p>
    <w:p>
      <w:pPr>
        <w:ind w:left="1300" w:hanging="315"/>
        <w:spacing w:after="0" w:line="282" w:lineRule="auto"/>
        <w:tabs>
          <w:tab w:leader="none" w:pos="13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1 to the Membership Interest Purchase Agreement, dated as of June 24, 2021, by and among BuzzFeed, Inc., CM Partners, LLC, Complex Media, Inc., Verizon CMP Holdings LLC and HDS II, Inc.;</w:t>
      </w:r>
    </w:p>
    <w:p>
      <w:pPr>
        <w:spacing w:after="0" w:line="107" w:lineRule="exact"/>
        <w:rPr>
          <w:rFonts w:ascii="Times New Roman" w:cs="Times New Roman" w:eastAsia="Times New Roman" w:hAnsi="Times New Roman"/>
          <w:sz w:val="18"/>
          <w:szCs w:val="18"/>
          <w:color w:val="auto"/>
        </w:rPr>
      </w:pPr>
    </w:p>
    <w:p>
      <w:pPr>
        <w:ind w:left="1300" w:hanging="315"/>
        <w:spacing w:after="0" w:line="282" w:lineRule="auto"/>
        <w:tabs>
          <w:tab w:leader="none" w:pos="1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Registration Rights Agreement, dated as of December 3, 2021, by and among BuzzFeed, Inc. (f/k/a 890 5th Avenue Partners, Inc.) and the other parties thereto;</w:t>
      </w:r>
    </w:p>
    <w:p>
      <w:pPr>
        <w:spacing w:after="0" w:line="107" w:lineRule="exact"/>
        <w:rPr>
          <w:rFonts w:ascii="Times New Roman" w:cs="Times New Roman" w:eastAsia="Times New Roman" w:hAnsi="Times New Roman"/>
          <w:sz w:val="18"/>
          <w:szCs w:val="18"/>
          <w:color w:val="auto"/>
        </w:rPr>
      </w:pPr>
    </w:p>
    <w:p>
      <w:pPr>
        <w:ind w:left="1300" w:right="20" w:hanging="315"/>
        <w:spacing w:after="0" w:line="282" w:lineRule="auto"/>
        <w:tabs>
          <w:tab w:leader="none" w:pos="13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Warrant Agreement, dated January 11, 2021, by and between BuzzFeed, Inc. (f//k/a 890 5th Avenue Partners, Inc.) and Continental Stock Transfer &amp; Trust Company (the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1300" w:hanging="315"/>
        <w:spacing w:after="0" w:line="282" w:lineRule="auto"/>
        <w:tabs>
          <w:tab w:leader="none" w:pos="13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Note Subscription Agreement, dated June 24, 2021, by and between 890 5th Avenue Partners, Inc., and the undersigned subscribers party thereto;</w:t>
      </w:r>
    </w:p>
    <w:p>
      <w:pPr>
        <w:spacing w:after="0" w:line="107" w:lineRule="exact"/>
        <w:rPr>
          <w:rFonts w:ascii="Times New Roman" w:cs="Times New Roman" w:eastAsia="Times New Roman" w:hAnsi="Times New Roman"/>
          <w:sz w:val="18"/>
          <w:szCs w:val="18"/>
          <w:color w:val="auto"/>
        </w:rPr>
      </w:pPr>
    </w:p>
    <w:p>
      <w:pPr>
        <w:ind w:left="1300" w:right="20" w:hanging="315"/>
        <w:spacing w:after="0" w:line="282" w:lineRule="auto"/>
        <w:tabs>
          <w:tab w:leader="none" w:pos="12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dated December 3, 2021, by and between BuzzFeed, Inc. and Wilmington Savings Fund Society, a federal savings bank, as Trustee; and</w:t>
      </w:r>
    </w:p>
    <w:p>
      <w:pPr>
        <w:spacing w:after="0" w:line="107" w:lineRule="exact"/>
        <w:rPr>
          <w:rFonts w:ascii="Times New Roman" w:cs="Times New Roman" w:eastAsia="Times New Roman" w:hAnsi="Times New Roman"/>
          <w:sz w:val="18"/>
          <w:szCs w:val="18"/>
          <w:color w:val="auto"/>
        </w:rPr>
      </w:pPr>
    </w:p>
    <w:p>
      <w:pPr>
        <w:ind w:left="1280" w:hanging="295"/>
        <w:spacing w:after="0"/>
        <w:tabs>
          <w:tab w:leader="none" w:pos="1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dated December 3, 2021, by and among BuzzFeed, Inc. and the convertible noteholders party thereto.</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examined and have relied as to matters of fact upon such corporate and other records, agreements, documents and other instruments and certificates or comparable documents of public officials and of officers and representatives of the Company and such other persons, and we have made such other investigations, as we have deemed relevant and necessary as a basis for the opinions expressed below.</w:t>
      </w:r>
    </w:p>
    <w:p>
      <w:pPr>
        <w:spacing w:after="0" w:line="12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natural persons, the authenticity of all agreements and documents submitted to us as originals and the conformity with authentic originals of all agreements and documents submitted to us as copies or as filed with the Commission. We have also assumed that the agreements and documents filed with the Commission are substantially in the form approved by the Board of Directors of the Company and the final, executed agreements and documents are substantially in the form as those filed with the Commission. As to any facts material to the opinions expressed herein that we did not independently establish or verify, we have relied, without independent verification, upon oral or written statements and representations of public officials, officers and other representatives of the Company. In addition, we have assumed the due authorization, execution and delivery of all documents by all persons other than the Company where due authorization, execution and delivery are prerequisites to the effectiveness thereof. We have also assumed that the Warrant has been duly authorized, executed and delivered by the Company. For purposes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440055</wp:posOffset>
            </wp:positionV>
            <wp:extent cx="1156970"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1156970" cy="26606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32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opinions set forth in paragraphs 3, 4 and 5 below, we have assumed that before the Warrant Shares, the BuzzFeed Equity Award Shares or the Convertible Notes Shares are issued the Company has not issued shares of Class A common stock or reduced the total number of shares of Class A common stock that the Company is authorized to issue under its certificate of incorporation such that, at the time the Warrant Shares, the BuzzFeed Equity Award Shares or the Convertible Notes Shares are to be issued, the number of unissued shares of Class A common stock authorized under the Company’s certificate of incorporation is less than the number of Warrant Shares, the BuzzFeed Equity Award Shares or the Convertible Notes Shares.</w:t>
      </w:r>
    </w:p>
    <w:p>
      <w:pPr>
        <w:spacing w:after="0" w:line="1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and subject also to the qualifications set forth below, and having considered such questions of law as we have deemed relevant and necessary as a basis for the opinion expressed below, we are of the opinion that:</w:t>
      </w:r>
    </w:p>
    <w:p>
      <w:pPr>
        <w:spacing w:after="0" w:line="108"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Shares have been duly authorized and are validly issued, fully-paid and non-assessable</w:t>
      </w:r>
    </w:p>
    <w:p>
      <w:pPr>
        <w:spacing w:after="0" w:line="171" w:lineRule="exact"/>
        <w:rPr>
          <w:rFonts w:ascii="Times New Roman" w:cs="Times New Roman" w:eastAsia="Times New Roman" w:hAnsi="Times New Roman"/>
          <w:sz w:val="18"/>
          <w:szCs w:val="18"/>
          <w:color w:val="auto"/>
        </w:rPr>
      </w:pPr>
    </w:p>
    <w:p>
      <w:pPr>
        <w:ind w:left="600" w:right="200" w:hanging="268"/>
        <w:spacing w:after="0" w:line="282" w:lineRule="auto"/>
        <w:tabs>
          <w:tab w:leader="none" w:pos="7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Shares have been duly authorized and, when issued upon conversion of the applicable shares of Class B common stock in the manner prescribed by the Certificate of Incorporation and related documents, will be validly issued, fully paid and non-assessable.</w:t>
      </w:r>
    </w:p>
    <w:p>
      <w:pPr>
        <w:spacing w:after="0" w:line="107" w:lineRule="exact"/>
        <w:rPr>
          <w:rFonts w:ascii="Times New Roman" w:cs="Times New Roman" w:eastAsia="Times New Roman" w:hAnsi="Times New Roman"/>
          <w:sz w:val="18"/>
          <w:szCs w:val="18"/>
          <w:color w:val="auto"/>
        </w:rPr>
      </w:pPr>
    </w:p>
    <w:p>
      <w:pPr>
        <w:ind w:left="600" w:right="200" w:hanging="268"/>
        <w:spacing w:after="0" w:line="282" w:lineRule="auto"/>
        <w:tabs>
          <w:tab w:leader="none" w:pos="65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have been duly authorized and, when issued and delivered upon exercise of the warrants thereof pursuant to the terms of the Warrant Agreement, will be validly issued, fully paid and non-assessable.</w:t>
      </w:r>
    </w:p>
    <w:p>
      <w:pPr>
        <w:spacing w:after="0" w:line="107" w:lineRule="exact"/>
        <w:rPr>
          <w:rFonts w:ascii="Times New Roman" w:cs="Times New Roman" w:eastAsia="Times New Roman" w:hAnsi="Times New Roman"/>
          <w:sz w:val="18"/>
          <w:szCs w:val="18"/>
          <w:color w:val="auto"/>
        </w:rPr>
      </w:pPr>
    </w:p>
    <w:p>
      <w:pPr>
        <w:jc w:val="both"/>
        <w:ind w:left="600" w:right="200" w:hanging="268"/>
        <w:spacing w:after="0" w:line="266" w:lineRule="auto"/>
        <w:tabs>
          <w:tab w:leader="none" w:pos="73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BuzzFeed Equity Award Shares have been duly authorized and, when issued and delivered upon exercise of the applicable BuzzFeed Equity Awards in accordance with the terms of the applicable BuzzFeed Equity Awards documentation, will be validly issued, fully paid and non-assessable.</w:t>
      </w:r>
    </w:p>
    <w:p>
      <w:pPr>
        <w:spacing w:after="0" w:line="121" w:lineRule="exact"/>
        <w:rPr>
          <w:rFonts w:ascii="Times New Roman" w:cs="Times New Roman" w:eastAsia="Times New Roman" w:hAnsi="Times New Roman"/>
          <w:sz w:val="18"/>
          <w:szCs w:val="18"/>
          <w:color w:val="auto"/>
        </w:rPr>
      </w:pPr>
    </w:p>
    <w:p>
      <w:pPr>
        <w:ind w:left="600" w:right="200" w:hanging="268"/>
        <w:spacing w:after="0" w:line="282" w:lineRule="auto"/>
        <w:tabs>
          <w:tab w:leader="none" w:pos="7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Note Shares have been duly authorized and, when issued and delivered upon conversion of the Convertible Notes in accordance with the terms of the Convertible Notes, will be validly issued, fully paid and non-assessable.</w:t>
      </w:r>
    </w:p>
    <w:p>
      <w:pPr>
        <w:spacing w:after="0" w:line="107" w:lineRule="exact"/>
        <w:rPr>
          <w:rFonts w:ascii="Times New Roman" w:cs="Times New Roman" w:eastAsia="Times New Roman" w:hAnsi="Times New Roman"/>
          <w:sz w:val="18"/>
          <w:szCs w:val="18"/>
          <w:color w:val="auto"/>
        </w:rPr>
      </w:pPr>
    </w:p>
    <w:p>
      <w:pPr>
        <w:ind w:left="600" w:right="200" w:hanging="26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Placement Warrants and the Working Capital Warrants constitute valid and binding obligations of the Company, enforceable against the Company in accordance with their terms.</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opinions above are subject to the effects of (a) bankruptcy, insolvency, fraudulent conveyance, reorganization, moratorium and other similar laws relating to or affecting the enforcement of creditors’ rights generally, (b) general equitable principles (whether considered in a proceeding in equity or at law), and (c) an implied covenant of good faith and fair dealing.</w:t>
      </w:r>
    </w:p>
    <w:p>
      <w:pPr>
        <w:spacing w:after="0" w:line="122"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With respect to the Warrant Shares, we express no opinion to the extent that future issuances of securities of the Company or antidilution adjustments to outstanding securities of the Company may cause the number of Warrant Shares to be issuable to be greater than or the Warrants to be exercisable for more Warrant Shares than the number of Warrant Shares that then remain authorized but unissued. Further, we have assumed the Exercise Price (as defined in the Warrant Agreement) will not be adjusted to an amount below the par value per Warrant Share. With respect to the Convertible Note Shares, we express no opinion to the extent that future issuances of securities of the Company or antidilution adjustments to outstanding securities of the Company may cause the number of Convertible Note Shares to be issuable to be greater than or the Convertible Notes to be convertible for more Convertible Note Shares than the number of Convertible Note Shares that then remain authorized but unissued.</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we express no opinion as to (i) the validity, legally binding effect or enforceability of (a) any waiver of immunity, (b) any waiver of a right to trial by jury, (c) any waiver of inconvenient forum set forth the Warrant Agreement and the Warrants or (d) any provisions relating to partial unenforceability contained in the Warrant Agreement and the Warrants or (ii) (a) whether a federal or state court outside New York would give effect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434340</wp:posOffset>
            </wp:positionV>
            <wp:extent cx="115697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1156970" cy="26543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32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choice of law provided for in the Warrant Agreement and the Warrants or (b) any provisions of the Warrant Agreement and the Warrants that relate to the subject matter jurisdiction of the federal or state courts of a particular jurisdiction to adjudicate any controversy related to the Warrant Agreement and the Warrants or the transactions contemplated thereby.</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opinions expressed in this letter are solely for your benefit and the benefit of persons entitled to rely thereon pursuant to applicable provisions of the Securities Act and the rules and regulations of the Commission promulgated thereunder and may not be relied upon in any manner or used for any purpose by any other person or entity.</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5.1 to the Registration Statement and further consent to the reference to our name under the caption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in the Registration Statement. In giving this consent, we do not admit that we are in the category of persons whose consent is required under Section 7 of the Securities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Freshfields Bruckhaus Deringer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377190</wp:posOffset>
            </wp:positionV>
            <wp:extent cx="115697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1156970" cy="26543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right"/>
        <w:spacing w:after="0"/>
        <w:rPr>
          <w:sz w:val="20"/>
          <w:szCs w:val="20"/>
          <w:color w:val="auto"/>
        </w:rPr>
      </w:pPr>
      <w:r>
        <w:rPr>
          <w:rFonts w:ascii="Verdana" w:cs="Verdana" w:eastAsia="Verdana" w:hAnsi="Verdana"/>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CONSENT OF INDEPENDENT REGISTERED PUBLIC ACCOUNTING FIRM</w:t>
      </w:r>
    </w:p>
    <w:p>
      <w:pPr>
        <w:spacing w:after="0" w:line="170" w:lineRule="exact"/>
        <w:rPr>
          <w:sz w:val="20"/>
          <w:szCs w:val="20"/>
          <w:color w:val="auto"/>
        </w:rPr>
      </w:pPr>
    </w:p>
    <w:p>
      <w:pPr>
        <w:jc w:val="both"/>
        <w:ind w:right="40"/>
        <w:spacing w:after="0" w:line="268" w:lineRule="auto"/>
        <w:rPr>
          <w:sz w:val="20"/>
          <w:szCs w:val="20"/>
          <w:color w:val="auto"/>
        </w:rPr>
      </w:pPr>
      <w:r>
        <w:rPr>
          <w:rFonts w:ascii="Verdana" w:cs="Verdana" w:eastAsia="Verdana" w:hAnsi="Verdana"/>
          <w:sz w:val="16"/>
          <w:szCs w:val="16"/>
          <w:color w:val="auto"/>
        </w:rPr>
        <w:t>We consent to the incorporation by reference in this Post-Effective Amendment to Form S-1, Registration Statement No. 333-262105, on Form S-3 of our report dated March 16, 2023, relating to the financial statements of BuzzFeed, Inc. We also consent to the reference to us under the heading “Experts” in such Registration Statement.</w:t>
      </w:r>
    </w:p>
    <w:p>
      <w:pPr>
        <w:spacing w:after="0" w:line="375" w:lineRule="exact"/>
        <w:rPr>
          <w:sz w:val="20"/>
          <w:szCs w:val="20"/>
          <w:color w:val="auto"/>
        </w:rPr>
      </w:pPr>
    </w:p>
    <w:p>
      <w:pPr>
        <w:spacing w:after="0"/>
        <w:rPr>
          <w:sz w:val="20"/>
          <w:szCs w:val="20"/>
          <w:color w:val="auto"/>
        </w:rPr>
      </w:pPr>
      <w:r>
        <w:rPr>
          <w:rFonts w:ascii="Verdana" w:cs="Verdana" w:eastAsia="Verdana" w:hAnsi="Verdana"/>
          <w:sz w:val="16"/>
          <w:szCs w:val="16"/>
          <w:color w:val="auto"/>
        </w:rPr>
        <w:t>/s/ Deloitte &amp; Touche LLP</w:t>
      </w:r>
    </w:p>
    <w:p>
      <w:pPr>
        <w:spacing w:after="0" w:line="178" w:lineRule="exact"/>
        <w:rPr>
          <w:sz w:val="20"/>
          <w:szCs w:val="20"/>
          <w:color w:val="auto"/>
        </w:rPr>
      </w:pPr>
    </w:p>
    <w:p>
      <w:pPr>
        <w:spacing w:after="0"/>
        <w:rPr>
          <w:sz w:val="20"/>
          <w:szCs w:val="20"/>
          <w:color w:val="auto"/>
        </w:rPr>
      </w:pPr>
      <w:r>
        <w:rPr>
          <w:rFonts w:ascii="Verdana" w:cs="Verdana" w:eastAsia="Verdana" w:hAnsi="Verdana"/>
          <w:sz w:val="16"/>
          <w:szCs w:val="16"/>
          <w:color w:val="auto"/>
        </w:rPr>
        <w:t>New York, New York</w:t>
      </w:r>
    </w:p>
    <w:p>
      <w:pPr>
        <w:spacing w:after="0"/>
        <w:rPr>
          <w:sz w:val="20"/>
          <w:szCs w:val="20"/>
          <w:color w:val="auto"/>
        </w:rPr>
      </w:pPr>
      <w:r>
        <w:rPr>
          <w:rFonts w:ascii="Verdana" w:cs="Verdana" w:eastAsia="Verdana" w:hAnsi="Verdana"/>
          <w:sz w:val="16"/>
          <w:szCs w:val="16"/>
          <w:color w:val="auto"/>
        </w:rPr>
        <w:t>March 21, 2023</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lvl w:ilvl="1">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7"/>
    </w:lvl>
  </w:abstractNum>
  <w:abstractNum w:abstractNumId="11">
    <w:nsid w:val="62BBD95A"/>
    <w:multiLevelType w:val="hybridMultilevel"/>
    <w:lvl w:ilvl="0">
      <w:lvlJc w:val="left"/>
      <w:lvlText w:val="(%1)"/>
      <w:numFmt w:val="decimal"/>
      <w:start w:val="13"/>
    </w:lvl>
  </w:abstractNum>
  <w:abstractNum w:abstractNumId="12">
    <w:nsid w:val="436C6125"/>
    <w:multiLevelType w:val="hybridMultilevel"/>
    <w:lvl w:ilvl="0">
      <w:lvlJc w:val="left"/>
      <w:lvlText w:val="(%1)"/>
      <w:numFmt w:val="decimal"/>
      <w:start w:val="26"/>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lvl w:ilvl="1">
      <w:lvlJc w:val="left"/>
      <w:lvlText w:val="(%2)"/>
      <w:numFmt w:val="lowerRoman"/>
      <w:start w:val="1"/>
    </w:lvl>
  </w:abstractNum>
  <w:abstractNum w:abstractNumId="23">
    <w:nsid w:val="B03E0C6"/>
    <w:multiLevelType w:val="hybridMultilevel"/>
    <w:lvl w:ilvl="0">
      <w:lvlJc w:val="left"/>
      <w:lvlText w:val="(%1)"/>
      <w:numFmt w:val="decimal"/>
      <w:start w:val="2"/>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6"/>
    </w:lvl>
    <w:lvl w:ilvl="1">
      <w:lvlJc w:val="left"/>
      <w:lvlText w:val="%2"/>
      <w:numFmt w:val="lowerLetter"/>
      <w:start w:val="1"/>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jpeg"/><Relationship Id="rId31" Type="http://schemas.openxmlformats.org/officeDocument/2006/relationships/image" Target="media/image11.jpeg"/><Relationship Id="rId32" Type="http://schemas.openxmlformats.org/officeDocument/2006/relationships/image" Target="media/image12.jpeg"/><Relationship Id="rId33" Type="http://schemas.openxmlformats.org/officeDocument/2006/relationships/image" Target="media/image13.jpeg"/><Relationship Id="rId34" Type="http://schemas.openxmlformats.org/officeDocument/2006/relationships/image" Target="media/image14.jpeg"/><Relationship Id="rId11" Type="http://schemas.openxmlformats.org/officeDocument/2006/relationships/hyperlink" Target="https://www.sec.gov/ix?doc=/Archives/edgar/data/1828972/000182897223000029/bzfd-20221231.htm" TargetMode="External"/><Relationship Id="rId12" Type="http://schemas.openxmlformats.org/officeDocument/2006/relationships/hyperlink" Target="https://www.sec.gov/Archives/edgar/data/1828972/000110465921002924/tm2034583-16_8a12b.htm" TargetMode="External"/><Relationship Id="rId13" Type="http://schemas.openxmlformats.org/officeDocument/2006/relationships/hyperlink" Target="https://www.sec.gov/Archives/edgar/data/1828972/000182897223000029/bzfd-20221231xexx45.htm" TargetMode="External"/><Relationship Id="rId14" Type="http://schemas.openxmlformats.org/officeDocument/2006/relationships/hyperlink" Target="https://www.sec.gov/Archives/edgar/data/1828972/000110465921085218/tm2120621d1_ex2-1.htm" TargetMode="External"/><Relationship Id="rId15" Type="http://schemas.openxmlformats.org/officeDocument/2006/relationships/hyperlink" Target="https://www.sec.gov/Archives/edgar/data/1828972/000110465921113801/tm2122219d6_ex2-2.htm" TargetMode="External"/><Relationship Id="rId16" Type="http://schemas.openxmlformats.org/officeDocument/2006/relationships/hyperlink" Target="https://www.sec.gov/Archives/edgar/data/1828972/000110465921098380/tm2122219d3_ex2-2.htm" TargetMode="External"/><Relationship Id="rId17" Type="http://schemas.openxmlformats.org/officeDocument/2006/relationships/hyperlink" Target="https://www.sec.gov/Archives/edgar/data/1828972/000110465921098380/tm2122219d3_ex2-3.htm" TargetMode="External"/><Relationship Id="rId18" Type="http://schemas.openxmlformats.org/officeDocument/2006/relationships/hyperlink" Target="https://www.sec.gov/Archives/edgar/data/1828972/000110465921148188/tm2134844d1_ex3-1.htm" TargetMode="External"/><Relationship Id="rId19" Type="http://schemas.openxmlformats.org/officeDocument/2006/relationships/hyperlink" Target="https://www.sec.gov/Archives/edgar/data/1828972/000110465921148188/tm2134844d1_ex3-2.htm" TargetMode="External"/><Relationship Id="rId20" Type="http://schemas.openxmlformats.org/officeDocument/2006/relationships/hyperlink" Target="https://www.sec.gov/Archives/edgar/data/1828972/000110465921122092/enfa-20211001xex4d1.htm" TargetMode="External"/><Relationship Id="rId21" Type="http://schemas.openxmlformats.org/officeDocument/2006/relationships/hyperlink" Target="https://www.sec.gov/Archives/edgar/data/1828972/000110465921001623/tm2034583d8_ex4-4.htm" TargetMode="External"/><Relationship Id="rId22" Type="http://schemas.openxmlformats.org/officeDocument/2006/relationships/hyperlink" Target="https://www.sec.gov/Archives/edgar/data/1828972/000110465921004786/tm213318d1_ex4-1.htm" TargetMode="External"/><Relationship Id="rId23" Type="http://schemas.openxmlformats.org/officeDocument/2006/relationships/hyperlink" Target="https://www.sec.gov/ix?doc=/Archives/edgar/data/0001828972/000110465922003154/bzfd-20220111xs1.htm#_10d9b2e4_4642_47bc_9ec3_0a4c005585c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2023-03-21T17:37:49Z</dcterms:created>
  <dcterms:modified xsi:type="dcterms:W3CDTF">2023-03-21T17:37:49Z</dcterms:modified>
</cp:coreProperties>
</file>