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333-262105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142875</wp:posOffset>
            </wp:positionV>
            <wp:extent cx="2108835"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883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112,304,633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15,637,500 Shares of Class A Common Stock Underlying Convertible Notes</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292,500 Warrants to Purchase Shares of Class A Common Stock</w:t>
      </w:r>
    </w:p>
    <w:p>
      <w:pPr>
        <w:spacing w:after="0" w:line="9"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9,875,833 Shares of Class A Common Stock Underlying Warrants</w:t>
      </w:r>
    </w:p>
    <w:p>
      <w:pPr>
        <w:spacing w:after="0" w:line="207" w:lineRule="exact"/>
        <w:rPr>
          <w:sz w:val="24"/>
          <w:szCs w:val="24"/>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21, 2022 (the “Prospectus”), which forms a part of our registration statement on Form S-1, as amended (No. 333-262105). This prospectus supplement is being filed to update and supplement the information in the Prospectus with the information contained in our quarterly report on Form 10-Q for the quarterly period ended March 31, 2022, filed with Securities and Exchange Commission on May 16, 2022 (the “Quarterly Report”). Accordingly, we have attached the Quarterly Report to this prospectus supplement.</w:t>
      </w:r>
    </w:p>
    <w:p>
      <w:pPr>
        <w:spacing w:after="0" w:line="180" w:lineRule="exact"/>
        <w:rPr>
          <w:sz w:val="24"/>
          <w:szCs w:val="24"/>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securityholders named in the Prospectus (the “Selling Securityholders”) of up to 112,304,633 shares of Class A common stock, par value $0.0001 per share (the “Class A common stock”), consisting of (A) up to (i) 109,094,037 shares of Class A common stock (including shares of Class A common stock issuable upon conversion of shares of Class B common stock, par value $0.0001 per share (the “Class B common stock”) and shares of Class A common stock issuable upon conversion of shares of Class C common stock, par value $0.0001 per share (the “Class C common stock”)), including shares being registered pursuant to that certain Amended and Restated Registration Rights Agreement, dated December 3, 2021, between us and certain of the Selling Securityholders granting such holders registration rights with respect to such shares; (ii) 3,210,596 shares of Class A common stock issuable following the exercise or settlement of certain stock options and restricted stock units; (iii) 15,637,500 shares of Class A common stock reserved for issuance upon the conversion of convertible senior notes; and (iv) 9,875,833 shares of Class A common stock issuable upon the exercise of warrants; and (B) 292,500 warrants, consisting of (a) 259,167 Private Placement Warrants and (b) 33,333 Working Capital Warrants.</w:t>
      </w:r>
    </w:p>
    <w:p>
      <w:pPr>
        <w:spacing w:after="0" w:line="194" w:lineRule="exact"/>
        <w:rPr>
          <w:sz w:val="24"/>
          <w:szCs w:val="24"/>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Our Class A common stock and warrants are listed on the Nasdaq Capital Market under the symbols “BZFD” and “BZFDW,” respectively. On May 13, 2022, the last reported sales price of our Class A common stock and the warrants were $3.76 per share and $0.64 per warrant, respectively.</w:t>
      </w:r>
    </w:p>
    <w:p>
      <w:pPr>
        <w:spacing w:after="0" w:line="162" w:lineRule="exact"/>
        <w:rPr>
          <w:sz w:val="24"/>
          <w:szCs w:val="24"/>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section entitled “Risk Factors” beginning on page 8 of the Prospectus to read about factors you should consider before buying our securities.</w:t>
      </w:r>
    </w:p>
    <w:p>
      <w:pPr>
        <w:spacing w:after="0" w:line="155" w:lineRule="exact"/>
        <w:rPr>
          <w:sz w:val="24"/>
          <w:szCs w:val="24"/>
          <w:color w:val="auto"/>
        </w:rPr>
      </w:pPr>
    </w:p>
    <w:p>
      <w:pPr>
        <w:jc w:val="both"/>
        <w:ind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101600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7" w:lineRule="exact"/>
        <w:rPr>
          <w:sz w:val="20"/>
          <w:szCs w:val="20"/>
          <w:color w:val="auto"/>
        </w:rPr>
      </w:pPr>
    </w:p>
    <w:p>
      <w:pPr>
        <w:ind w:left="1040" w:hanging="902"/>
        <w:spacing w:after="0"/>
        <w:tabs>
          <w:tab w:leader="none" w:pos="1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2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 w:lineRule="exact"/>
        <w:rPr>
          <w:sz w:val="20"/>
          <w:szCs w:val="20"/>
          <w:color w:val="auto"/>
        </w:rPr>
      </w:pPr>
    </w:p>
    <w:p>
      <w:pPr>
        <w:ind w:left="1040" w:hanging="902"/>
        <w:spacing w:after="0"/>
        <w:tabs>
          <w:tab w:leader="none" w:pos="1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0"/>
          <w:szCs w:val="20"/>
          <w:color w:val="auto"/>
        </w:rPr>
      </w:pPr>
    </w:p>
    <w:p>
      <w:pPr>
        <w:ind w:left="37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7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3" w:lineRule="exact"/>
        <w:rPr>
          <w:sz w:val="20"/>
          <w:szCs w:val="20"/>
          <w:color w:val="auto"/>
        </w:rPr>
      </w:pPr>
    </w:p>
    <w:tbl>
      <w:tblPr>
        <w:tblLayout w:type="fixed"/>
        <w:tblInd w:w="440" w:type="dxa"/>
        <w:tblCellMar>
          <w:top w:w="0" w:type="dxa"/>
          <w:left w:w="0" w:type="dxa"/>
          <w:bottom w:w="0" w:type="dxa"/>
          <w:right w:w="0" w:type="dxa"/>
        </w:tblCellMar>
      </w:tblPr>
      <w:tr>
        <w:trPr>
          <w:trHeight w:val="203"/>
        </w:trPr>
        <w:tc>
          <w:tcPr>
            <w:tcW w:w="50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34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85-3022075</w:t>
            </w:r>
          </w:p>
        </w:tc>
      </w:tr>
      <w:tr>
        <w:trPr>
          <w:trHeight w:val="202"/>
        </w:trPr>
        <w:tc>
          <w:tcPr>
            <w:tcW w:w="5020" w:type="dxa"/>
            <w:vAlign w:val="bottom"/>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34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03"/>
        </w:trPr>
        <w:tc>
          <w:tcPr>
            <w:tcW w:w="5020" w:type="dxa"/>
            <w:vAlign w:val="bottom"/>
          </w:tcPr>
          <w:p>
            <w:pPr>
              <w:jc w:val="center"/>
              <w:ind w:right="780"/>
              <w:spacing w:after="0" w:line="203" w:lineRule="exact"/>
              <w:rPr>
                <w:sz w:val="20"/>
                <w:szCs w:val="20"/>
                <w:color w:val="auto"/>
              </w:rPr>
            </w:pPr>
            <w:r>
              <w:rPr>
                <w:rFonts w:ascii="Times New Roman" w:cs="Times New Roman" w:eastAsia="Times New Roman" w:hAnsi="Times New Roman"/>
                <w:sz w:val="16"/>
                <w:szCs w:val="16"/>
                <w:b w:val="1"/>
                <w:bCs w:val="1"/>
                <w:color w:val="auto"/>
                <w:w w:val="98"/>
              </w:rPr>
              <w:t>111 East 18</w:t>
            </w:r>
            <w:r>
              <w:rPr>
                <w:rFonts w:ascii="Times New Roman" w:cs="Times New Roman" w:eastAsia="Times New Roman" w:hAnsi="Times New Roman"/>
                <w:sz w:val="23"/>
                <w:szCs w:val="23"/>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Street New York, New York</w:t>
            </w:r>
          </w:p>
        </w:tc>
        <w:tc>
          <w:tcPr>
            <w:tcW w:w="334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212"/>
        </w:trPr>
        <w:tc>
          <w:tcPr>
            <w:tcW w:w="5020" w:type="dxa"/>
            <w:vAlign w:val="bottom"/>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340" w:type="dxa"/>
            <w:vAlign w:val="bottom"/>
          </w:tcPr>
          <w:p>
            <w:pPr>
              <w:jc w:val="center"/>
              <w:ind w:left="77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(646) 589-8592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60" w:type="dxa"/>
            <w:vAlign w:val="bottom"/>
            <w:tcBorders>
              <w:top w:val="single" w:sz="8" w:color="auto"/>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6"/>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2"/>
        </w:trPr>
        <w:tc>
          <w:tcPr>
            <w:tcW w:w="414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Redeemable warrants, each whole warrant exercisable for one</w:t>
            </w:r>
          </w:p>
        </w:tc>
        <w:tc>
          <w:tcPr>
            <w:tcW w:w="1820" w:type="dxa"/>
            <w:vAlign w:val="bottom"/>
            <w:tcBorders>
              <w:right w:val="single" w:sz="8" w:color="auto"/>
            </w:tcBorders>
          </w:tcPr>
          <w:p>
            <w:pPr>
              <w:spacing w:after="0"/>
              <w:rPr>
                <w:sz w:val="15"/>
                <w:szCs w:val="15"/>
                <w:color w:val="auto"/>
              </w:rPr>
            </w:pPr>
          </w:p>
        </w:tc>
        <w:tc>
          <w:tcPr>
            <w:tcW w:w="3960" w:type="dxa"/>
            <w:vAlign w:val="bottom"/>
            <w:tcBorders>
              <w:right w:val="single" w:sz="8" w:color="auto"/>
            </w:tcBorders>
          </w:tcPr>
          <w:p>
            <w:pPr>
              <w:spacing w:after="0"/>
              <w:rPr>
                <w:sz w:val="15"/>
                <w:szCs w:val="15"/>
                <w:color w:val="auto"/>
              </w:rPr>
            </w:pPr>
          </w:p>
        </w:tc>
      </w:tr>
      <w:tr>
        <w:trPr>
          <w:trHeight w:val="202"/>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 of Class A Common Stock at an exercise price of $11.50</w:t>
            </w:r>
          </w:p>
        </w:tc>
        <w:tc>
          <w:tcPr>
            <w:tcW w:w="1820" w:type="dxa"/>
            <w:vAlign w:val="bottom"/>
            <w:tcBorders>
              <w:right w:val="single" w:sz="8" w:color="auto"/>
            </w:tcBorders>
          </w:tcPr>
          <w:p>
            <w:pPr>
              <w:spacing w:after="0"/>
              <w:rPr>
                <w:sz w:val="17"/>
                <w:szCs w:val="17"/>
                <w:color w:val="auto"/>
              </w:rPr>
            </w:pPr>
          </w:p>
        </w:tc>
        <w:tc>
          <w:tcPr>
            <w:tcW w:w="3960" w:type="dxa"/>
            <w:vAlign w:val="bottom"/>
            <w:tcBorders>
              <w:right w:val="single" w:sz="8" w:color="auto"/>
            </w:tcBorders>
          </w:tcPr>
          <w:p>
            <w:pPr>
              <w:spacing w:after="0"/>
              <w:rPr>
                <w:sz w:val="17"/>
                <w:szCs w:val="17"/>
                <w:color w:val="auto"/>
              </w:rPr>
            </w:pPr>
          </w:p>
        </w:tc>
      </w:tr>
      <w:tr>
        <w:trPr>
          <w:trHeight w:val="21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182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BZFDW</w:t>
            </w:r>
          </w:p>
        </w:tc>
        <w:tc>
          <w:tcPr>
            <w:tcW w:w="3960" w:type="dxa"/>
            <w:vAlign w:val="bottom"/>
            <w:tcBorders>
              <w:bottom w:val="single" w:sz="8" w:color="auto"/>
              <w:right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8" w:lineRule="exact"/>
        <w:rPr>
          <w:sz w:val="20"/>
          <w:szCs w:val="20"/>
          <w:color w:val="auto"/>
        </w:rPr>
      </w:pPr>
    </w:p>
    <w:p>
      <w:pPr>
        <w:ind w:right="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0"/>
          <w:szCs w:val="20"/>
          <w:color w:val="auto"/>
        </w:rPr>
      </w:pPr>
    </w:p>
    <w:p>
      <w:pPr>
        <w:ind w:right="1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Emerging growth company</w:t>
            </w:r>
          </w:p>
        </w:tc>
        <w:tc>
          <w:tcPr>
            <w:tcW w:w="22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82" w:lineRule="exact"/>
        <w:rPr>
          <w:sz w:val="20"/>
          <w:szCs w:val="20"/>
          <w:color w:val="auto"/>
        </w:rPr>
      </w:pPr>
    </w:p>
    <w:p>
      <w:pPr>
        <w:ind w:right="260"/>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Act).Yes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As of May 12, 2022, there were 116,688,959 shares of the registrant’s Class A common stock outstanding, 12,293,614 shares of the registrant’s Class B common stock outstanding and 6,478,031 shares of the registrant’s Class C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113665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125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0"/>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BUZZFEED,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10"/>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80" w:type="dxa"/>
            <w:vAlign w:val="bottom"/>
            <w:gridSpan w:val="2"/>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74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3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4"/>
        </w:trPr>
        <w:tc>
          <w:tcPr>
            <w:tcW w:w="600" w:type="dxa"/>
            <w:vAlign w:val="bottom"/>
            <w:gridSpan w:val="2"/>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480" w:type="dxa"/>
            <w:vAlign w:val="bottom"/>
            <w:gridSpan w:val="20"/>
            <w:vMerge w:val="continue"/>
          </w:tcPr>
          <w:p>
            <w:pPr>
              <w:spacing w:after="0"/>
              <w:rPr>
                <w:sz w:val="16"/>
                <w:szCs w:val="16"/>
                <w:color w:val="auto"/>
              </w:rPr>
            </w:pPr>
          </w:p>
        </w:tc>
        <w:tc>
          <w:tcPr>
            <w:tcW w:w="1360" w:type="dxa"/>
            <w:vAlign w:val="bottom"/>
          </w:tcPr>
          <w:p>
            <w:pPr>
              <w:jc w:val="center"/>
              <w:ind w:left="910"/>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080" w:type="dxa"/>
            <w:vAlign w:val="bottom"/>
            <w:gridSpan w:val="10"/>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w:t>
            </w:r>
          </w:p>
        </w:tc>
        <w:tc>
          <w:tcPr>
            <w:tcW w:w="2120" w:type="dxa"/>
            <w:vAlign w:val="bottom"/>
            <w:gridSpan w:val="2"/>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160" w:type="dxa"/>
            <w:vAlign w:val="bottom"/>
            <w:gridSpan w:val="3"/>
          </w:tcPr>
          <w:p>
            <w:pPr>
              <w:spacing w:after="0"/>
              <w:rPr>
                <w:sz w:val="17"/>
                <w:szCs w:val="17"/>
                <w:color w:val="auto"/>
              </w:rPr>
            </w:pPr>
          </w:p>
        </w:tc>
        <w:tc>
          <w:tcPr>
            <w:tcW w:w="1360" w:type="dxa"/>
            <w:vAlign w:val="bottom"/>
          </w:tcPr>
          <w:p>
            <w:pPr>
              <w:jc w:val="center"/>
              <w:ind w:left="910"/>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00" w:type="dxa"/>
            <w:vAlign w:val="bottom"/>
            <w:gridSpan w:val="13"/>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7680" w:type="dxa"/>
            <w:vAlign w:val="bottom"/>
            <w:gridSpan w:val="21"/>
          </w:tcPr>
          <w:p>
            <w:pPr>
              <w:ind w:left="200"/>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w:t>
            </w:r>
          </w:p>
        </w:tc>
        <w:tc>
          <w:tcPr>
            <w:tcW w:w="18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440" w:type="dxa"/>
            <w:vAlign w:val="bottom"/>
            <w:gridSpan w:val="12"/>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7680" w:type="dxa"/>
            <w:vAlign w:val="bottom"/>
            <w:gridSpan w:val="21"/>
          </w:tcPr>
          <w:p>
            <w:pPr>
              <w:ind w:left="200"/>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w:t>
            </w:r>
          </w:p>
        </w:tc>
        <w:tc>
          <w:tcPr>
            <w:tcW w:w="1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20" w:type="dxa"/>
            <w:vAlign w:val="bottom"/>
            <w:gridSpan w:val="5"/>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100" w:type="dxa"/>
            <w:vAlign w:val="bottom"/>
            <w:gridSpan w:val="11"/>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700" w:type="dxa"/>
            <w:vAlign w:val="bottom"/>
            <w:gridSpan w:val="13"/>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w:t>
            </w:r>
          </w:p>
        </w:tc>
        <w:tc>
          <w:tcPr>
            <w:tcW w:w="4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6140" w:type="dxa"/>
            <w:vAlign w:val="bottom"/>
            <w:gridSpan w:val="14"/>
          </w:tcPr>
          <w:p>
            <w:pPr>
              <w:spacing w:after="0"/>
              <w:rPr>
                <w:sz w:val="17"/>
                <w:szCs w:val="17"/>
                <w:color w:val="auto"/>
              </w:rPr>
            </w:pPr>
          </w:p>
        </w:tc>
        <w:tc>
          <w:tcPr>
            <w:tcW w:w="136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88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1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898"/>
        </w:trPr>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2"/>
          </w:tcPr>
          <w:p>
            <w:pPr>
              <w:spacing w:after="0"/>
              <w:rPr>
                <w:sz w:val="24"/>
                <w:szCs w:val="24"/>
                <w:color w:val="auto"/>
              </w:rPr>
            </w:pPr>
          </w:p>
        </w:tc>
        <w:tc>
          <w:tcPr>
            <w:tcW w:w="3900" w:type="dxa"/>
            <w:vAlign w:val="bottom"/>
            <w:gridSpan w:val="12"/>
          </w:tcPr>
          <w:p>
            <w:pPr>
              <w:jc w:val="center"/>
              <w:ind w:left="361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1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products and services and changes in traffic;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the digital media industry;</w:t>
      </w:r>
    </w:p>
    <w:p>
      <w:pPr>
        <w:spacing w:after="0" w:line="225"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national and local economic and other conditions and developments in technology, each of which could influence the levels (rate and volume) of our advertising, the growth of our business and the implementation of our strategic initiatives;</w:t>
      </w:r>
    </w:p>
    <w:p>
      <w:pPr>
        <w:spacing w:after="0" w:line="13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quality broadband infrastructure in certain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performance, including expectations with respect to our financial and business performance, including financial projections and business metrics and any underlying assumptions thereunder and future business plans and growth opportunities;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our ability to obtain additional capital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acquisitions, partnerships or other relationships with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revised foreign content and ownership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the actions we may take in the future in response thereto;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Nasdaq; and</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herein and in our Annual Report on Form 10-K for the year ended December 31, 2021.</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entitled “Risk Factors” herein and in our Annual Report on Form 10-K for the year ended December 31, 2021. Should one or more of these risks or uncertainties materialize, or should any of our assumptions prove incorrect, actual results may vary in material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herein and in our Annual Report on Form 10-K for the year ended December 31, 2021. These and other factors could cause results to differ materially from those expressed in these publications and reports.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per share amounts</w:t>
      </w:r>
      <w:r>
        <w:rPr>
          <w:rFonts w:ascii="Times New Roman" w:cs="Times New Roman" w:eastAsia="Times New Roman" w:hAnsi="Times New Roman"/>
          <w:sz w:val="14"/>
          <w:szCs w:val="14"/>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2"/>
                <w:szCs w:val="12"/>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3"/>
                <w:szCs w:val="13"/>
                <w:color w:val="auto"/>
              </w:rPr>
            </w:pPr>
          </w:p>
        </w:tc>
        <w:tc>
          <w:tcPr>
            <w:tcW w:w="9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74,540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79,733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Accounts receivable (net of allowance for doubtful accounts of $1,668 as at March 31, 2022 and $1,094 as at December 31, 2021)</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98,092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142,909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current assets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26,768</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199,400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251,659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23,065</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73,103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Capitalized software costs, net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17,902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Intangible assets, net</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132,717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Goodwill</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194,050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194,881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Prepaid and other assets</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15,538</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655,775</w:t>
            </w:r>
          </w:p>
        </w:tc>
        <w:tc>
          <w:tcPr>
            <w:tcW w:w="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14,673</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compensation</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26,935</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Current lease liabilities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24,258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2,706</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95,298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94,146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rent</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Noncurrent lease liabilities</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66,174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143,032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141,878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Derivative liability</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231F20"/>
              </w:rPr>
              <w:t>Warrant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8,354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1,956</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321,264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262,333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6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231F20"/>
              </w:rPr>
              <w:t>Class A Common stock, $0.0001 par value; 700,000 shares authorized; 116,689 and 116,175 shares issued and outstanding at March 31, 2022</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3"/>
                <w:szCs w:val="13"/>
                <w:color w:val="231F20"/>
              </w:rPr>
              <w:t>and December 31, 2021, respectively</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231F20"/>
              </w:rPr>
              <w:t>Class B Common stock, $0.0001 par value; 20,000 shares authorized; 12,294 and 12,397 shares issued and outstanding at March 31, 2022 and</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231F20"/>
              </w:rPr>
              <w:t>December 31, 2021, respectively</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231F20"/>
              </w:rPr>
              <w:t>Class C Common stock, $0.0001 par value; 10,000 shares authorized; 6,478 issued and outstanding at March 31, 2022 and December 31, 2021</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700,167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695,869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(367,000)</w:t>
            </w: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(322,106)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(3,336)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231F20"/>
              </w:rPr>
              <w:t>Total BuzzFeed, Inc. stockholders’ equity</w:t>
            </w: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329,845</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370,543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231F20"/>
              </w:rPr>
              <w:t>Noncontrolling interests</w:t>
            </w: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2,208</w:t>
            </w:r>
          </w:p>
        </w:tc>
        <w:tc>
          <w:tcPr>
            <w:tcW w:w="2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2,044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231F20"/>
              </w:rPr>
              <w:t>Total stockholders’ equity</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332,053</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372,587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655,775</w:t>
            </w:r>
          </w:p>
        </w:tc>
        <w:tc>
          <w:tcPr>
            <w:tcW w:w="2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126,856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the redeemable 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Class A, Class B and Class C common share: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231F20"/>
              </w:rPr>
              <w:t>Weighted average common shares outstanding: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the redeemable noncontrolling interest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BuzzFeed,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(44,997)</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1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 2022</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4"/>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9"/>
                <w:szCs w:val="9"/>
                <w:color w:val="auto"/>
              </w:rPr>
            </w:pPr>
          </w:p>
        </w:tc>
        <w:tc>
          <w:tcPr>
            <w:tcW w:w="700" w:type="dxa"/>
            <w:vAlign w:val="bottom"/>
            <w:gridSpan w:val="2"/>
          </w:tcPr>
          <w:p>
            <w:pPr>
              <w:jc w:val="center"/>
              <w:ind w:right="6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6"/>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w:t>
            </w:r>
          </w:p>
        </w:tc>
        <w:tc>
          <w:tcPr>
            <w:tcW w:w="1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0" w:type="dxa"/>
            <w:vAlign w:val="bottom"/>
          </w:tcPr>
          <w:p>
            <w:pPr>
              <w:spacing w:after="0"/>
              <w:rPr>
                <w:sz w:val="11"/>
                <w:szCs w:val="11"/>
                <w:color w:val="auto"/>
              </w:rPr>
            </w:pPr>
          </w:p>
        </w:tc>
        <w:tc>
          <w:tcPr>
            <w:tcW w:w="960" w:type="dxa"/>
            <w:vAlign w:val="bottom"/>
            <w:gridSpan w:val="7"/>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0" w:type="dxa"/>
            <w:vAlign w:val="bottom"/>
          </w:tcPr>
          <w:p>
            <w:pPr>
              <w:spacing w:after="0"/>
              <w:rPr>
                <w:sz w:val="11"/>
                <w:szCs w:val="11"/>
                <w:color w:val="auto"/>
              </w:rPr>
            </w:pPr>
          </w:p>
        </w:tc>
        <w:tc>
          <w:tcPr>
            <w:tcW w:w="860" w:type="dxa"/>
            <w:vAlign w:val="bottom"/>
            <w:gridSpan w:val="5"/>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920" w:type="dxa"/>
            <w:vAlign w:val="bottom"/>
            <w:gridSpan w:val="4"/>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BuzzFeed,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4"/>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7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3"/>
                <w:szCs w:val="13"/>
                <w:color w:val="auto"/>
              </w:rPr>
            </w:pPr>
          </w:p>
        </w:tc>
        <w:tc>
          <w:tcPr>
            <w:tcW w:w="8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40" w:type="dxa"/>
            <w:vAlign w:val="bottom"/>
          </w:tcPr>
          <w:p>
            <w:pPr>
              <w:spacing w:after="0"/>
              <w:rPr>
                <w:sz w:val="13"/>
                <w:szCs w:val="13"/>
                <w:color w:val="auto"/>
              </w:rPr>
            </w:pPr>
          </w:p>
        </w:tc>
        <w:tc>
          <w:tcPr>
            <w:tcW w:w="16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w w:val="99"/>
              </w:rPr>
              <w:t>Noncontrolling  stockholders’</w:t>
            </w:r>
          </w:p>
        </w:tc>
        <w:tc>
          <w:tcPr>
            <w:tcW w:w="0" w:type="dxa"/>
            <w:vAlign w:val="bottom"/>
          </w:tcPr>
          <w:p>
            <w:pPr>
              <w:spacing w:after="0"/>
              <w:rPr>
                <w:sz w:val="1"/>
                <w:szCs w:val="1"/>
                <w:color w:val="auto"/>
              </w:rPr>
            </w:pPr>
          </w:p>
        </w:tc>
      </w:tr>
      <w:tr>
        <w:trPr>
          <w:trHeight w:val="128"/>
        </w:trPr>
        <w:tc>
          <w:tcPr>
            <w:tcW w:w="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8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right"/>
              <w:ind w:right="158"/>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left="137"/>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231F20"/>
                <w:w w:val="97"/>
              </w:rPr>
              <w:t>Balance at January 1, 2022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116,175</w:t>
            </w:r>
          </w:p>
        </w:tc>
        <w:tc>
          <w:tcPr>
            <w:tcW w:w="3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60" w:type="dxa"/>
            <w:vAlign w:val="bottom"/>
            <w:tcBorders>
              <w:right w:val="single" w:sz="8" w:color="CCEEFF"/>
            </w:tcBorders>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12,397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tcBorders>
              <w:right w:val="single" w:sz="8" w:color="CCEEFF"/>
            </w:tcBorders>
            <w:gridSpan w:val="4"/>
            <w:shd w:val="clear" w:color="auto" w:fill="CCEEFF"/>
          </w:tcPr>
          <w:p>
            <w:pPr>
              <w:jc w:val="right"/>
              <w:spacing w:after="0" w:line="263" w:lineRule="exact"/>
              <w:rPr>
                <w:sz w:val="20"/>
                <w:szCs w:val="20"/>
                <w:color w:val="auto"/>
              </w:rPr>
            </w:pPr>
            <w:r>
              <w:rPr>
                <w:rFonts w:ascii="Times New Roman" w:cs="Times New Roman" w:eastAsia="Times New Roman" w:hAnsi="Times New Roman"/>
                <w:sz w:val="25"/>
                <w:szCs w:val="25"/>
                <w:color w:val="000000"/>
                <w:vertAlign w:val="subscript"/>
              </w:rPr>
              <w:t>$</w:t>
            </w:r>
            <w:r>
              <w:rPr>
                <w:rFonts w:ascii="Times New Roman" w:cs="Times New Roman" w:eastAsia="Times New Roman" w:hAnsi="Times New Roman"/>
                <w:sz w:val="13"/>
                <w:szCs w:val="13"/>
                <w:color w:val="231F20"/>
              </w:rPr>
              <w:t xml:space="preserve"> 695,869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(322,106)</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370,543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2,044</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372,587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231F20"/>
              </w:rPr>
              <w:t>Net loss</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40" w:type="dxa"/>
            <w:vAlign w:val="bottom"/>
          </w:tcPr>
          <w:p>
            <w:pPr>
              <w:jc w:val="right"/>
              <w:ind w:right="1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4"/>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gridSpan w:val="2"/>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(44,894)</w:t>
            </w: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231F20"/>
              </w:rPr>
              <w:t>164</w:t>
            </w:r>
          </w:p>
        </w:tc>
        <w:tc>
          <w:tcPr>
            <w:tcW w:w="240" w:type="dxa"/>
            <w:vAlign w:val="bottom"/>
          </w:tcPr>
          <w:p>
            <w:pPr>
              <w:spacing w:after="0"/>
              <w:rPr>
                <w:sz w:val="10"/>
                <w:szCs w:val="10"/>
                <w:color w:val="auto"/>
              </w:rPr>
            </w:pPr>
          </w:p>
        </w:tc>
        <w:tc>
          <w:tcPr>
            <w:tcW w:w="6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(44,730)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Stock-based compensation</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3,940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tcBorders>
              <w:right w:val="single" w:sz="8" w:color="CCEEFF"/>
            </w:tcBorders>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480" w:type="dxa"/>
            <w:vAlign w:val="bottom"/>
            <w:gridSpan w:val="4"/>
          </w:tcPr>
          <w:p>
            <w:pPr>
              <w:spacing w:after="0" w:line="117" w:lineRule="exact"/>
              <w:rPr>
                <w:sz w:val="20"/>
                <w:szCs w:val="20"/>
                <w:color w:val="auto"/>
              </w:rPr>
            </w:pPr>
            <w:r>
              <w:rPr>
                <w:rFonts w:ascii="Times New Roman" w:cs="Times New Roman" w:eastAsia="Times New Roman" w:hAnsi="Times New Roman"/>
                <w:sz w:val="13"/>
                <w:szCs w:val="13"/>
                <w:color w:val="231F20"/>
                <w:w w:val="96"/>
              </w:rPr>
              <w:t>Issuance of common stock in</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gridSpan w:val="6"/>
          </w:tcPr>
          <w:p>
            <w:pPr>
              <w:ind w:left="140"/>
              <w:spacing w:after="0" w:line="135" w:lineRule="exact"/>
              <w:rPr>
                <w:sz w:val="20"/>
                <w:szCs w:val="20"/>
                <w:color w:val="auto"/>
              </w:rPr>
            </w:pPr>
            <w:r>
              <w:rPr>
                <w:rFonts w:ascii="Times New Roman" w:cs="Times New Roman" w:eastAsia="Times New Roman" w:hAnsi="Times New Roman"/>
                <w:sz w:val="13"/>
                <w:szCs w:val="13"/>
                <w:color w:val="231F20"/>
                <w:w w:val="94"/>
              </w:rPr>
              <w:t>connection with share-based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40" w:type="dxa"/>
            <w:vAlign w:val="bottom"/>
          </w:tcPr>
          <w:p>
            <w:pPr>
              <w:spacing w:after="0"/>
              <w:rPr>
                <w:sz w:val="11"/>
                <w:szCs w:val="11"/>
                <w:color w:val="auto"/>
              </w:rPr>
            </w:pP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140"/>
              <w:spacing w:after="0"/>
              <w:rPr>
                <w:sz w:val="20"/>
                <w:szCs w:val="20"/>
                <w:color w:val="auto"/>
              </w:rPr>
            </w:pPr>
            <w:r>
              <w:rPr>
                <w:rFonts w:ascii="Times New Roman" w:cs="Times New Roman" w:eastAsia="Times New Roman" w:hAnsi="Times New Roman"/>
                <w:sz w:val="13"/>
                <w:szCs w:val="13"/>
                <w:color w:val="231F20"/>
              </w:rPr>
              <w:t>plans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231F20"/>
              </w:rPr>
              <w:t>Other comprehensive loss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tcBorders>
              <w:right w:val="single" w:sz="8" w:color="CCEEFF"/>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6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w:t>
            </w: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260" w:type="dxa"/>
            <w:vAlign w:val="bottom"/>
            <w:gridSpan w:val="10"/>
          </w:tcPr>
          <w:p>
            <w:pPr>
              <w:spacing w:after="0" w:line="117" w:lineRule="exact"/>
              <w:rPr>
                <w:sz w:val="20"/>
                <w:szCs w:val="20"/>
                <w:color w:val="auto"/>
              </w:rPr>
            </w:pPr>
            <w:r>
              <w:rPr>
                <w:rFonts w:ascii="Times New Roman" w:cs="Times New Roman" w:eastAsia="Times New Roman" w:hAnsi="Times New Roman"/>
                <w:sz w:val="13"/>
                <w:szCs w:val="13"/>
                <w:color w:val="231F20"/>
              </w:rPr>
              <w:t>Conversion of Class B common</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gridSpan w:val="4"/>
          </w:tcPr>
          <w:p>
            <w:pPr>
              <w:ind w:left="140"/>
              <w:spacing w:after="0" w:line="135" w:lineRule="exact"/>
              <w:rPr>
                <w:sz w:val="20"/>
                <w:szCs w:val="20"/>
                <w:color w:val="auto"/>
              </w:rPr>
            </w:pPr>
            <w:r>
              <w:rPr>
                <w:rFonts w:ascii="Times New Roman" w:cs="Times New Roman" w:eastAsia="Times New Roman" w:hAnsi="Times New Roman"/>
                <w:sz w:val="13"/>
                <w:szCs w:val="13"/>
                <w:color w:val="231F20"/>
                <w:w w:val="98"/>
              </w:rPr>
              <w:t>stock to Class A common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231F20"/>
              </w:rPr>
              <w:t>—</w:t>
            </w:r>
          </w:p>
        </w:tc>
        <w:tc>
          <w:tcPr>
            <w:tcW w:w="240" w:type="dxa"/>
            <w:vAlign w:val="bottom"/>
          </w:tcPr>
          <w:p>
            <w:pPr>
              <w:spacing w:after="0"/>
              <w:rPr>
                <w:sz w:val="11"/>
                <w:szCs w:val="11"/>
                <w:color w:val="auto"/>
              </w:rPr>
            </w:pPr>
          </w:p>
        </w:tc>
        <w:tc>
          <w:tcPr>
            <w:tcW w:w="66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900" w:type="dxa"/>
            <w:vAlign w:val="bottom"/>
          </w:tcPr>
          <w:p>
            <w:pPr>
              <w:ind w:left="140"/>
              <w:spacing w:after="0"/>
              <w:rPr>
                <w:sz w:val="20"/>
                <w:szCs w:val="20"/>
                <w:color w:val="auto"/>
              </w:rPr>
            </w:pPr>
            <w:r>
              <w:rPr>
                <w:rFonts w:ascii="Times New Roman" w:cs="Times New Roman" w:eastAsia="Times New Roman" w:hAnsi="Times New Roman"/>
                <w:sz w:val="13"/>
                <w:szCs w:val="13"/>
                <w:color w:val="231F20"/>
              </w:rPr>
              <w:t>stock</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231F20"/>
                <w:w w:val="98"/>
              </w:rPr>
              <w:t>Balance at March 31, 2022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116,689</w:t>
            </w:r>
          </w:p>
        </w:tc>
        <w:tc>
          <w:tcPr>
            <w:tcW w:w="3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60" w:type="dxa"/>
            <w:vAlign w:val="bottom"/>
            <w:tcBorders>
              <w:right w:val="single" w:sz="8" w:color="CCEEFF"/>
            </w:tcBorders>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12,294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tcBorders>
              <w:right w:val="single" w:sz="8" w:color="CCEEFF"/>
            </w:tcBorders>
            <w:gridSpan w:val="4"/>
            <w:shd w:val="clear" w:color="auto" w:fill="CCEEFF"/>
          </w:tcPr>
          <w:p>
            <w:pPr>
              <w:jc w:val="right"/>
              <w:spacing w:after="0" w:line="263" w:lineRule="exact"/>
              <w:rPr>
                <w:sz w:val="20"/>
                <w:szCs w:val="20"/>
                <w:color w:val="auto"/>
              </w:rPr>
            </w:pPr>
            <w:r>
              <w:rPr>
                <w:rFonts w:ascii="Times New Roman" w:cs="Times New Roman" w:eastAsia="Times New Roman" w:hAnsi="Times New Roman"/>
                <w:sz w:val="25"/>
                <w:szCs w:val="25"/>
                <w:color w:val="000000"/>
                <w:vertAlign w:val="subscript"/>
              </w:rPr>
              <w:t>$</w:t>
            </w:r>
            <w:r>
              <w:rPr>
                <w:rFonts w:ascii="Times New Roman" w:cs="Times New Roman" w:eastAsia="Times New Roman" w:hAnsi="Times New Roman"/>
                <w:sz w:val="13"/>
                <w:szCs w:val="13"/>
                <w:color w:val="231F20"/>
              </w:rPr>
              <w:t xml:space="preserve"> 700,167</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(367,000)</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(3,336)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231F20"/>
              </w:rPr>
              <w:t>329,845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2,208</w:t>
            </w:r>
          </w:p>
        </w:tc>
        <w:tc>
          <w:tcPr>
            <w:tcW w:w="24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231F20"/>
              </w:rPr>
              <w:t>332,053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5"/>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4"/>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40" w:type="dxa"/>
            <w:vAlign w:val="bottom"/>
            <w:gridSpan w:val="5"/>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Total BuzzFeed,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13"/>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   Common Stock – Class</w:t>
            </w:r>
          </w:p>
        </w:tc>
        <w:tc>
          <w:tcPr>
            <w:tcW w:w="1320" w:type="dxa"/>
            <w:vAlign w:val="bottom"/>
            <w:gridSpan w:val="8"/>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Common Stock – Class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gridSpan w:val="3"/>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8"/>
          </w:tcPr>
          <w:p>
            <w:pPr>
              <w:jc w:val="right"/>
              <w:ind w:right="560"/>
              <w:spacing w:after="0" w:line="13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jc w:val="right"/>
              <w:ind w:right="297"/>
              <w:spacing w:after="0" w:line="135" w:lineRule="exact"/>
              <w:rPr>
                <w:sz w:val="20"/>
                <w:szCs w:val="20"/>
                <w:color w:val="auto"/>
              </w:rPr>
            </w:pPr>
            <w:r>
              <w:rPr>
                <w:rFonts w:ascii="Times New Roman" w:cs="Times New Roman" w:eastAsia="Times New Roman" w:hAnsi="Times New Roman"/>
                <w:sz w:val="13"/>
                <w:szCs w:val="13"/>
                <w:b w:val="1"/>
                <w:bCs w:val="1"/>
                <w:color w:val="auto"/>
              </w:rPr>
              <w:t>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900" w:type="dxa"/>
            <w:vAlign w:val="bottom"/>
            <w:gridSpan w:val="6"/>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1"/>
                <w:szCs w:val="11"/>
                <w:color w:val="auto"/>
              </w:rPr>
            </w:pPr>
          </w:p>
        </w:tc>
        <w:tc>
          <w:tcPr>
            <w:tcW w:w="86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100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0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vMerge w:val="restart"/>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79"/>
              </w:rPr>
              <w:t>Shares</w:t>
            </w:r>
          </w:p>
        </w:tc>
        <w:tc>
          <w:tcPr>
            <w:tcW w:w="220" w:type="dxa"/>
            <w:vAlign w:val="bottom"/>
          </w:tcPr>
          <w:p>
            <w:pPr>
              <w:spacing w:after="0"/>
              <w:rPr>
                <w:sz w:val="13"/>
                <w:szCs w:val="13"/>
                <w:color w:val="auto"/>
              </w:rPr>
            </w:pPr>
          </w:p>
        </w:tc>
        <w:tc>
          <w:tcPr>
            <w:tcW w:w="6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5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52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40" w:type="dxa"/>
            <w:vAlign w:val="bottom"/>
          </w:tcPr>
          <w:p>
            <w:pPr>
              <w:spacing w:after="0"/>
              <w:rPr>
                <w:sz w:val="13"/>
                <w:szCs w:val="13"/>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(deficit) equity</w:t>
            </w:r>
          </w:p>
        </w:tc>
        <w:tc>
          <w:tcPr>
            <w:tcW w:w="14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9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(deficit) equity</w:t>
            </w:r>
          </w:p>
        </w:tc>
        <w:tc>
          <w:tcPr>
            <w:tcW w:w="0" w:type="dxa"/>
            <w:vAlign w:val="bottom"/>
          </w:tcPr>
          <w:p>
            <w:pPr>
              <w:spacing w:after="0"/>
              <w:rPr>
                <w:sz w:val="1"/>
                <w:szCs w:val="1"/>
                <w:color w:val="auto"/>
              </w:rPr>
            </w:pPr>
          </w:p>
        </w:tc>
      </w:tr>
      <w:tr>
        <w:trPr>
          <w:trHeight w:val="95"/>
        </w:trPr>
        <w:tc>
          <w:tcPr>
            <w:tcW w:w="900" w:type="dxa"/>
            <w:vAlign w:val="bottom"/>
            <w:tcBorders>
              <w:top w:val="single" w:sz="8" w:color="CCEEFF"/>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right w:val="single" w:sz="8" w:color="CCEEFF"/>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right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left w:val="single" w:sz="8" w:color="CCEEFF"/>
              <w:right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2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10,439</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CEEFF"/>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36,373</w:t>
            </w:r>
          </w:p>
        </w:tc>
        <w:tc>
          <w:tcPr>
            <w:tcW w:w="3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0"/>
              </w:rPr>
              <w:t>(346,818)</w:t>
            </w:r>
          </w:p>
        </w:tc>
        <w:tc>
          <w:tcPr>
            <w:tcW w:w="6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360" w:type="dxa"/>
            <w:vAlign w:val="bottom"/>
            <w:tcBorders>
              <w:right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(313,803)</w:t>
            </w: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(313,803)</w:t>
            </w: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left w:val="single" w:sz="8" w:color="CCEEFF"/>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3,839</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34,999</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HuffPost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Acquisition</w:t>
            </w:r>
          </w:p>
        </w:tc>
        <w:tc>
          <w:tcPr>
            <w:tcW w:w="10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24,064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26,186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Stock-based</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left w:val="single" w:sz="8" w:color="CCEEFF"/>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upon exercise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i w:val="1"/>
                <w:iCs w:val="1"/>
                <w:color w:val="auto"/>
              </w:rPr>
              <w:t>—</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of stock options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9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left w:val="single" w:sz="8" w:color="CCEEFF"/>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tcBorders>
              <w:left w:val="single" w:sz="8" w:color="CCEEFF"/>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00" w:type="dxa"/>
            <w:vAlign w:val="bottom"/>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120" w:type="dxa"/>
            <w:vAlign w:val="bottom"/>
          </w:tcPr>
          <w:p>
            <w:pPr>
              <w:spacing w:after="0"/>
              <w:rPr>
                <w:sz w:val="11"/>
                <w:szCs w:val="11"/>
                <w:color w:val="auto"/>
              </w:rPr>
            </w:pPr>
          </w:p>
        </w:tc>
        <w:tc>
          <w:tcPr>
            <w:tcW w:w="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4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w w:val="89"/>
              </w:rPr>
              <w:t>10,488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6,478</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95,716</w:t>
            </w:r>
          </w:p>
        </w:tc>
        <w:tc>
          <w:tcPr>
            <w:tcW w:w="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w w:val="90"/>
              </w:rPr>
              <w:t>(358,185)</w:t>
            </w:r>
          </w:p>
        </w:tc>
        <w:tc>
          <w:tcPr>
            <w:tcW w:w="60" w:type="dxa"/>
            <w:vAlign w:val="bottom"/>
          </w:tcPr>
          <w:p>
            <w:pPr>
              <w:spacing w:after="0"/>
              <w:rPr>
                <w:sz w:val="11"/>
                <w:szCs w:val="11"/>
                <w:color w:val="auto"/>
              </w:rPr>
            </w:pPr>
          </w:p>
        </w:tc>
        <w:tc>
          <w:tcPr>
            <w:tcW w:w="34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(3,688)</w:t>
            </w:r>
          </w:p>
        </w:tc>
        <w:tc>
          <w:tcPr>
            <w:tcW w:w="36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(266,155)</w:t>
            </w:r>
          </w:p>
        </w:tc>
        <w:tc>
          <w:tcPr>
            <w:tcW w:w="16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120" w:type="dxa"/>
            <w:vAlign w:val="bottom"/>
          </w:tcPr>
          <w:p>
            <w:pPr>
              <w:spacing w:after="0"/>
              <w:rPr>
                <w:sz w:val="11"/>
                <w:szCs w:val="1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(264,051)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4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Net loss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(44,566)</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231F20"/>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8,481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5,269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Unrealized loss (gain) on foreign currency</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Stock based compensation</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3,940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warrants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3,416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231F20"/>
              </w:rPr>
              <w:t>Change in fair value of derivative liability</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231F20"/>
              </w:rPr>
              <w:t>Amortization of debt discount and deferred issuance costs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(4,318)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574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(515)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(1,260)</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4,690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44,227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37,076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 and prepaid expenses and other assets</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(9,073)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(5,741)</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rent</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(2,498)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(10,117)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231F20"/>
              </w:rPr>
              <w:t>Accrued expenses, other current liabilities and other liabilities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(4,688)</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(1,685)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231F20"/>
              </w:rPr>
              <w:t>Lease liabilities</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(5,517)</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1,461</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(284)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provided by operating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9,518</w:t>
            </w:r>
          </w:p>
        </w:tc>
        <w:tc>
          <w:tcPr>
            <w:tcW w:w="0" w:type="dxa"/>
            <w:vAlign w:val="bottom"/>
          </w:tcPr>
          <w:p>
            <w:pPr>
              <w:spacing w:after="0"/>
              <w:rPr>
                <w:sz w:val="1"/>
                <w:szCs w:val="1"/>
                <w:color w:val="auto"/>
              </w:rPr>
            </w:pPr>
          </w:p>
        </w:tc>
      </w:tr>
      <w:tr>
        <w:trPr>
          <w:trHeight w:val="148"/>
        </w:trPr>
        <w:tc>
          <w:tcPr>
            <w:tcW w:w="75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(2,369)</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(907)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Capitalization of internal-use software</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(3,553)</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from acquired business, net</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investing activities</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(5,922)</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2,958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Proceeds from issuance of common stock</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358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231F20"/>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reverse recapitalization costs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(585)</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(used in) provided by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(227)</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35,142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currency translation on cash and cash equivalents</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231F20"/>
              </w:rPr>
              <w:t>(186)</w:t>
            </w: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231F20"/>
              </w:rPr>
              <w:t>(534)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(5,193)</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231F20"/>
              </w:rPr>
              <w:t>47,084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79,733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231F20"/>
              </w:rPr>
              <w:t>106,126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74,540</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153,210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global media company with social, content-driven publishing technology. BuzzFeed provides breaking news, original reporting, entertainment, and video across its owned and operated brands and the social web to its global audience. BuzzFeed derives its revenue primarily from content, advertising and commerce sold to leading brands. The Company has one reportable segment.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3, 2021 (the “Closing Date”), the Company consummated the previously announced business combinations in connection with (i) that certain Agreement and Plan of Merger, dated June 24, 2021 (as amended, the “Merger Agreement”), by and among 890 5th Avenue Partners, Inc., a Delaware corporation (“890”), Bolt Merger Sub I, Inc., a Delaware corporation and a direct, wholly-owned subsidiary of 890 (“Merger Sub I”), Bolt Merger Sub II, Inc., a Delaware corporation and a direct, wholly-owned subsidiary of 890 (“Merger Sub II”), and BuzzFeed, Inc., a Delaware corporation (“ Legacy BuzzFeed”), pursuant to which (a) Merger Sub I merged with and into Legacy BuzzFeed (the “First Merger”), with Legacy BuzzFeed surviving the First Merger as a wholly-owned subsidiary of 890 and (b) immediately following the First Merger, Legacy BuzzFeed merged with and into Merger Sub II (the “Second Merger” and, together with the First Merger, the “Two-Step Merger”), with Merger Sub II surviving the Second Merger as a wholly-owned subsidiary of 890; and (ii) the Membership Interest Purchase Agreement, dated as of March 27, 2021 (as amended, the “C Acquisition Purchase Agreement”), by and among Legacy BuzzFeed, CM Partners, LLC, Complex Media, Inc., Verizon CMP Holdings LLC and HDS II, Inc., pursuant to which the surviving entity acquired 100% of the membership interests of CM Partners, LLC. CM Partners, LLC, together with Complex Media, Inc., is referred to herein as “Complex Networks.” The Two-Step Merger and the other transactions contemplated by the Merger Agreement, including the acquisition by the surviving entity of Complex Networks, are hereinafter referred to as the “Business Combination.” In connection with the consummation of the Business Combination, 890 was renamed “BuzzFeed,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and for the three months ended March 31, 2022, the Company had cash and cash equivalents of $74.5 million and positive operating cash inflows. However, the Company has a history of losses, and had an accumulated deficit of $367.0 million as of March 31, 2022. The Company has cash available on hand and management believes its existing capital resources will be sufficient to support the Company’s operations and meet its obligations as they become due within one year from the date these condensed consolidated financial statements are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Closing Date: (i) each issued and outstanding share of Class A common stock, par value $0.0001 per share (the “890 Class A common stock”), and Class F common stock, par value $0.0001 per share (the “890 Class F common stock”), of 890 became one share of BuzzFeed Class A common stock, par value $0.0001 per share (the “BuzzFeed Class A common stock”); (ii) each issued and outstanding whole warrant to purchase shares of 890 Class A common stock became a warrant to acquire one share of BuzzFeed Class A common stock at an exercise price of $11.50 per share (each a “BuzzFeed warrant”); and (iii) each issued and outstanding unit of 890 that had not been previously separated into the underlying share of 890 Class A common stock and the underlying warrants of 890 upon the request of the holder thereof was cancelled and entitled the holder thereof to one share of BuzzFeed Class A common stock and one-third of one BuzzFeed warrant.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on the Closing Date (i) each share of Legacy BuzzFeed Class A common stock and Legacy BuzzFeed preferred stock (other than Series F Preferred Stock and Series G Preferred Stock, any cancelled shares or dissenting shares) issued and outstanding was cancelled and automatically converted into the right to receive 0.306 shares of BuzzFeed Class A Common Stock; (ii) all of the shares of Series F Preferred Stock and Series G Preferred Stock issued and outstanding were cancelled and automatically converted into the right to receive 30,880,000 shares of BuzzFeed Class A Common Stock; (iii) each share of Class B Common Stock of Legacy BuzzFeed issued and outstanding (other than any cancelled shares or dissenting shares) was cancelled and automatically converted into the right to receive 0.306 shares of BuzzFeed Class B Common Stock; and (iv) each share of Class C Common Stock of Legacy BuzzFeed issued and outstanding was cancelled and automatically converted into the right to receive 0.306 shares of BuzzFeed Class C Common Stock, in each case in accordance with the applicable provisions of the Merger Agreement. As a result, shares of BuzzFeed capital stock no longer represent an ownership interest in Legacy BuzzFeed, but instead represent an ownership interest in BuzzFeed.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pursuant to subscription agreements entered into in connection with the Merger Agreement, the Company issued, and certain investors purchased, $150.0 million aggregate principal amount of unsecured convertible notes due 2026 concurrently with the closing of the Business Combination (the “Notes”).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27,133,519 shares of 890 Class A common stock sold in 890’s initial public offering (the “Public Shares”) properly exercised their right to have their public shares redeemed for a full pro rata portion of the trust account holding the proceeds from 890’s initial public offering, calculated as of two business days prior to the Closing, which was approximately $10.00 per share, or $271.3 million in the aggregate. Approximately $16.2 million remained in 890’s trust account and was used to partially fund the Business Combination.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proceeds raised and issuance costs incurred related to the Business Combination. The total net proceeds from the reverse recapitalization were paid in December 2021, except for $0.6 million which was paid in the first quarter of 2022.</w:t>
      </w:r>
    </w:p>
    <w:p>
      <w:pPr>
        <w:sectPr>
          <w:pgSz w:w="11900" w:h="16838" w:orient="portrait"/>
          <w:cols w:equalWidth="0" w:num="1">
            <w:col w:w="9920"/>
          </w:cols>
          <w:pgMar w:left="980" w:top="513" w:right="999" w:bottom="1440" w:gutter="0" w:footer="0" w:header="0"/>
        </w:sectPr>
      </w:pP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-119380</wp:posOffset>
            </wp:positionV>
            <wp:extent cx="50317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890 reverse recapitalization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BuzzFeed reverse recapitalization costs</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03174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spacing w:after="0" w:line="2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Proceeds from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50317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costs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Issuance costs settled in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5715</wp:posOffset>
            </wp:positionV>
            <wp:extent cx="503174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31740" cy="1543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7"/>
          <w:szCs w:val="17"/>
          <w:color w:val="auto"/>
        </w:rPr>
        <w:t>Proceeds from issuance of Notes, net of issuance costs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12" w:hanging="412"/>
        <w:spacing w:after="0"/>
        <w:tabs>
          <w:tab w:leader="none" w:pos="4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16,167</w:t>
      </w:r>
    </w:p>
    <w:p>
      <w:pPr>
        <w:spacing w:after="0" w:line="27"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(13,795)</w:t>
      </w:r>
    </w:p>
    <w:p>
      <w:pPr>
        <w:spacing w:after="0" w:line="20" w:lineRule="exact"/>
        <w:rPr>
          <w:rFonts w:ascii="Times New Roman" w:cs="Times New Roman" w:eastAsia="Times New Roman" w:hAnsi="Times New Roman"/>
          <w:sz w:val="18"/>
          <w:szCs w:val="18"/>
          <w:color w:val="auto"/>
        </w:rPr>
      </w:pPr>
    </w:p>
    <w:p>
      <w:pPr>
        <w:ind w:left="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083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 w:lineRule="exact"/>
        <w:rPr>
          <w:sz w:val="20"/>
          <w:szCs w:val="20"/>
          <w:color w:val="auto"/>
        </w:rPr>
      </w:pPr>
    </w:p>
    <w:p>
      <w:pPr>
        <w:ind w:left="352" w:hanging="352"/>
        <w:spacing w:after="0"/>
        <w:tabs>
          <w:tab w:leader="none" w:pos="352" w:val="left"/>
        </w:tabs>
        <w:numPr>
          <w:ilvl w:val="0"/>
          <w:numId w:val="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(12,237)</w:t>
      </w:r>
    </w:p>
    <w:p>
      <w:pPr>
        <w:spacing w:after="0" w:line="272" w:lineRule="exact"/>
        <w:rPr>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w:t>
      </w:r>
    </w:p>
    <w:p>
      <w:pPr>
        <w:spacing w:after="0" w:line="27" w:lineRule="exact"/>
        <w:rPr>
          <w:rFonts w:ascii="Times New Roman" w:cs="Times New Roman" w:eastAsia="Times New Roman" w:hAnsi="Times New Roman"/>
          <w:sz w:val="18"/>
          <w:szCs w:val="18"/>
          <w:color w:val="auto"/>
        </w:rPr>
      </w:pPr>
    </w:p>
    <w:p>
      <w:pPr>
        <w:ind w:left="4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(6,757)</w:t>
      </w:r>
    </w:p>
    <w:p>
      <w:pPr>
        <w:spacing w:after="0" w:line="20" w:lineRule="exact"/>
        <w:rPr>
          <w:rFonts w:ascii="Times New Roman" w:cs="Times New Roman" w:eastAsia="Times New Roman" w:hAnsi="Times New Roman"/>
          <w:sz w:val="18"/>
          <w:szCs w:val="18"/>
          <w:color w:val="auto"/>
        </w:rPr>
      </w:pPr>
    </w:p>
    <w:p>
      <w:pPr>
        <w:ind w:left="6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563</w:t>
      </w:r>
    </w:p>
    <w:p>
      <w:pPr>
        <w:spacing w:after="0" w:line="9" w:lineRule="exact"/>
        <w:rPr>
          <w:sz w:val="20"/>
          <w:szCs w:val="20"/>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143,806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608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8" w:space="720"/>
            <w:col w:w="1952"/>
          </w:cols>
          <w:pgMar w:left="980" w:top="513" w:right="999" w:bottom="1440" w:gutter="0" w:footer="0" w:header="0"/>
          <w:type w:val="continuous"/>
        </w:sectPr>
      </w:pPr>
    </w:p>
    <w:p>
      <w:pPr>
        <w:spacing w:after="0" w:line="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Business Combination (including the issuance of 10,000,000 shares of BuzzFeed Class A common stock pursuant to the C Acquisition Purchase Agreement), the redemption of Public Shares as described above and the separation of the former 890 units, as of the Closing Date, there were 110,789,875 shares of BuzzFeed Class A common stock issued and outstanding, 15,872,459 shares of BuzzFeed Class B common stock issued and outstanding and 6,478,031 shares of BuzzFeed Class C common stock issued and outstanding.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Two-Step Merger was accounted for as a reverse recapitalization, with no goodwill or other intangible assets recorded (the “Reverse Recapitalization”). Under this method of accounting, 890 was treated as the “acquired” company for financial reporting purposes. Accordingly, for accounting purposes, the Reverse Recapitalization was treated as the equivalent of Legacy BuzzFeed issuing stock for the net assets of 890, accompanied by a recapitalization. The net assets of 890 were stated at historical cost, with no goodwill or other intangible assets recorded. Operations prior to the Reverse Recapitalization are those of Legacy BuzzFeed.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determination of Legacy BuzzFeed being the accounting acquirer for the Two-Step Merger was primarily based on evaluation of the following facts and circumstances: (i) Legacy BuzzFeed’s existing stockholders own the majority of the shares and have the majority of the voting interests in BuzzFeed with more than 97% of the voting interests; (ii) Legacy BuzzFeed appointed the majority of the directors on BuzzFeed’s Board; (iii) Legacy BuzzFeed’s existing management comprises the majority of the management of BuzzFeed; (iv) Legacy BuzzFeed is the larger entity based on historical revenues and business operations and comprises the majority of the ongoing operations of BuzzFeed; and (v) Legacy BuzzFeed assumed BuzzFeed’s name.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recast in all comparative periods up to the Closing Date to reflect the number of shares of the Company’s common stock, $0.0001 par value per share, issued to Legacy BuzzFeed’s stockholders in connection with the Business Combination. As such, the shares and corresponding capital amounts and earnings per share related to Legacy BuzzFeed redeemable convertible preferred stock (other than Series F Preferred Stock and Series G Preferred Stock) and Legacy BuzzFeed common stock prior to the Business Combination have been retroactively recast as shares reflecting the Exchange Ratio of 0.306 established in the Business Combination. Shares of Legacy BuzzFeed Series F Preferred Stock and Series G Preferred Stock have been retroactively restated based on the exchange into 30,880,000 shares of BuzzFeed Class A common stock established in the Business Combination.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BuzzFeed Class A common stock and warrants commenced trading on the Nasdaq Stock Market LLC under the symbols “BZFD” and “BZFDW,” respectively, on December 6, 2021.</w:t>
      </w:r>
    </w:p>
    <w:p>
      <w:pPr>
        <w:sectPr>
          <w:pgSz w:w="11900" w:h="16838" w:orient="portrait"/>
          <w:cols w:equalWidth="0" w:num="1">
            <w:col w:w="9920"/>
          </w:cols>
          <w:pgMar w:left="980" w:top="513" w:right="99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and continuing in the first quarter of 2022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(“GAAP”) and applicable rules and regulations of the Securities and Exchange Commission (the “SEC”) regarding interim financial reporting. Certain information and note disclosures normally included in the financial statements prepared in accordance with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2021, as disclosed in the Company’s Annual Report on Form 10-K for the year ended December 31, 2021.</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2022.</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prior year figures have been reclassified to conform to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fair value of the derivative liability, fair values used for stock-based compensation in periods prior to the Business Combination, useful lives of fixed assets, and capitalized software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or EGC, has elected to take advantage of the benefits of the extended transition period provided for in Section 7(a)(2)(B) of the Securities Act, for complying with new or revised accounting standards which allows the Company to defer adoption of certain accounting standards until those standards would otherwise apply to private companies.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supersedes existing guidance on accounting for leases in Leases (Topic 840) and generally requires leased assets and lease liabilities to be recognized on the balance sheet. On January 1, 2022, the Company adopted Accounting Standards Codification (“ASC”) 842 using the modified retrospective method. Prior period amounts were not adjusted and continue to be reported in accordance with historical accounting under ASC 840. The Company elected to use the package of practical expedients permitted under the transition guidance. Accordingly, the Company did not reassess (i) whether any expired or existing contracts are or contain leases, (ii) the lease classification for any expired or existing leases, or (iii) any initial direct costs for any existing leases. The Company elected to use the practical expedient to combine lease and non-lease components for all classes of assets. Additionally, the Company elected not to record on the balance sheet leases with a term of twelve months or less. Upon adoption, the Company recorded right of use assets of $77.8 million and lease liabilities of $96.0 million. The adoption of ASC 842 did not result in a material impact to the condensed consolidated statements of operations or cash flows. See Note 15 for more information about the adoption of ASC 842 and related disclosures.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 (Topic 350): Internal-Use Software</w:t>
      </w:r>
      <w:r>
        <w:rPr>
          <w:rFonts w:ascii="Times New Roman" w:cs="Times New Roman" w:eastAsia="Times New Roman" w:hAnsi="Times New Roman"/>
          <w:sz w:val="18"/>
          <w:szCs w:val="18"/>
          <w:color w:val="auto"/>
        </w:rPr>
        <w:t xml:space="preserve"> (“ASU 2018-15”). ASU 2018-15 aligns the requirements for capitalizing implementation costs incurred in a cloud computing arrangement that is a service contract with the requirements for capitalizing implementation costs incurred to develop or obtain internal-use software. The guidance was effective for the Company for annual reporting periods beginning after December 15, 2020, and interim reporting periods beginning after December 15, 2021. The Company adopted ASU 2018-15 prospectively for the Company’s annual reporting period effective January 1, 2021 and for interim reporting periods beginning on January 1, 2022. The adoption did not have a significant impact on the Company’s condensed consolidated financial statements.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FASB issued ASU No.2021-08, </w:t>
      </w:r>
      <w:r>
        <w:rPr>
          <w:rFonts w:ascii="Times New Roman" w:cs="Times New Roman" w:eastAsia="Times New Roman" w:hAnsi="Times New Roman"/>
          <w:sz w:val="18"/>
          <w:szCs w:val="18"/>
          <w:i w:val="1"/>
          <w:iCs w:val="1"/>
          <w:color w:val="auto"/>
        </w:rPr>
        <w:t>Business Combinations (Topic 805): Accounting for Contract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Liabilities from Contracts with Customers </w:t>
      </w:r>
      <w:r>
        <w:rPr>
          <w:rFonts w:ascii="Times New Roman" w:cs="Times New Roman" w:eastAsia="Times New Roman" w:hAnsi="Times New Roman"/>
          <w:sz w:val="18"/>
          <w:szCs w:val="18"/>
          <w:color w:val="auto"/>
        </w:rPr>
        <w:t>(“ASU 2021-08”). ASU 2021-08 requires an acquirer to account for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acquired in a business combination in accordance with ASC 606, as if it had originated the contracts. Prior to ASU 2021-08, an acquirer generally recognized assets acquired and liabilities assumed in a business combination, including contract assets and contract liabilities arising from revenue contracts with customers and other similar contracts, at fair value on the acquisition date. As permitted by the ASU, the Company elected to early adopt the amendments in the fourth quarter of 2021 and retrospectively applied ASU 2021-08 to its acquisitions that occurred in 2021. The adoption of ASU 2021-08 did not have a significant impact on the Company’s condensed consolidated financial statements.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 – Debt with Conversion and Other Options (Subtopic 470-20)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The ASU eliminates two of the three models in ASC 470-20 that require separating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embedded conversion features from convertible instruments. As a result, only conversion features accounted for under the substantial premium model in ASC 470-20 and those that require bifurcation in accordance with ASC 815-15 will be accounted for separately. For contracts in an entity’s own equity, the new guidance eliminates some of the requirements in ASC 815-40 for equity classification. The guidance also addresses how convertible instruments are accounted for in the diluted earnings per share (EPS) calculation and requires enhanced disclosures about the terms of convertible instruments and contracts in an entity’s own equity. Early adoption is permitted for all entities for fiscal periods beginning after December 15, 2020, including interim periods within the same fiscal year. The ASU allows entities to use a modified or full retrospective transition method. The Company elected to early adopt ASU 2020-06 effective January 1, 2021. The adoption of ASU 2020-06 did not have a significant impact on the Company’s condensed consolidated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2021, the Company adopted the amended guidance in ASU 2019-02, </w:t>
      </w:r>
      <w:r>
        <w:rPr>
          <w:rFonts w:ascii="Times New Roman" w:cs="Times New Roman" w:eastAsia="Times New Roman" w:hAnsi="Times New Roman"/>
          <w:sz w:val="18"/>
          <w:szCs w:val="18"/>
          <w:i w:val="1"/>
          <w:iCs w:val="1"/>
          <w:color w:val="auto"/>
        </w:rPr>
        <w:t>Improvements to Accounting for Costs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Films and License Agreements for Program Materials</w:t>
      </w:r>
      <w:r>
        <w:rPr>
          <w:rFonts w:ascii="Times New Roman" w:cs="Times New Roman" w:eastAsia="Times New Roman" w:hAnsi="Times New Roman"/>
          <w:sz w:val="18"/>
          <w:szCs w:val="18"/>
          <w:color w:val="auto"/>
        </w:rPr>
        <w:t>, which aligns the accounting for capitalizing production costs of episodic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television series with the guidance for films. As a result, the capitalization of costs incurred to produce episodic television series is no longer limited to the amount of revenue contracted in the initial market until persuasive evidence of a secondary market exists. In addition, under this guidance we test our film costs for impairment on a title-by-title basis or together with other films and series as part of a group, based on the predominant monetization strategy of the film or series. Further, for film costs monetized in a film group, the guidance requires any change to the estimated life of the film or television series to be accounted for prospectively. The guidance eliminates existing balance sheet classification guidance and adds new disclosure requirements relating to costs for acquired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produced films and television series. The adoption of this guidance did not have a material impact on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which changes the impairment model for most financial assets, including accounts receivable, and replaces the existing incurred loss impairment model with an expected loss methodology, which will result in more timely recognition of credit losses. The guidance is effective for the Company for interim and annual periods beginning after December 15, 2022, with early adoption permitted. The Company is currently assessing the timing and impact of adopting ASU 2016-13 on the Company’s condensed consolidated financial statements.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amendments in this ASU simplify the accounting for income taxes by removing certain exceptions to the general principles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Income Taxes. The amendments also improve consistent application and simplify GAAP for other areas of Topic 740 by clarifying and amending existing guidance. The guidance is effective for the Company for annual periods beginning after December 15, 2021, and interim periods within fiscal years beginning after December 15, 2022. Early adoption is permitted. The Company is currently assessing the timing and impact of adopting the new guidance on the Company’s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Acquisition</w:t>
      </w:r>
    </w:p>
    <w:p>
      <w:pPr>
        <w:spacing w:after="0" w:line="16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December 3, 2021, the Company completed the acquisition of 100% of the members’ interests of Complex Networks, a publisher of online media content targeting Millennial and Gen Z consumers (the “C Acquisition”).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C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6"/>
                <w:szCs w:val="26"/>
                <w:color w:val="auto"/>
                <w:vertAlign w:val="superscript"/>
              </w:rPr>
              <w:t>(1)</w:t>
            </w:r>
          </w:p>
        </w:tc>
        <w:tc>
          <w:tcPr>
            <w:tcW w:w="6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197,966</w:t>
            </w:r>
          </w:p>
        </w:tc>
      </w:tr>
      <w:tr>
        <w:trPr>
          <w:trHeight w:val="216"/>
        </w:trPr>
        <w:tc>
          <w:tcPr>
            <w:tcW w:w="24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5"/>
                <w:szCs w:val="25"/>
                <w:color w:val="auto"/>
                <w:vertAlign w:val="superscript"/>
              </w:rPr>
              <w:t>(2)</w:t>
            </w:r>
          </w:p>
        </w:tc>
        <w:tc>
          <w:tcPr>
            <w:tcW w:w="6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96,200</w:t>
            </w:r>
          </w:p>
        </w:tc>
      </w:tr>
      <w:tr>
        <w:trPr>
          <w:trHeight w:val="210"/>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6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294,166</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76" w:lineRule="exact"/>
        <w:rPr>
          <w:sz w:val="20"/>
          <w:szCs w:val="20"/>
          <w:color w:val="auto"/>
        </w:rPr>
      </w:pPr>
    </w:p>
    <w:p>
      <w:pPr>
        <w:ind w:firstLine="8"/>
        <w:spacing w:after="0" w:line="297"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Includes the cash purchase price of $200.0 million adjusted for certain closing specified liabilities as specified in the C Acquisition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Purchase Agreement.</w:t>
      </w:r>
    </w:p>
    <w:p>
      <w:pPr>
        <w:spacing w:after="0" w:line="81" w:lineRule="exact"/>
        <w:rPr>
          <w:rFonts w:ascii="Times New Roman" w:cs="Times New Roman" w:eastAsia="Times New Roman" w:hAnsi="Times New Roman"/>
          <w:sz w:val="18"/>
          <w:szCs w:val="18"/>
          <w:color w:val="auto"/>
        </w:rPr>
      </w:pPr>
    </w:p>
    <w:p>
      <w:pPr>
        <w:ind w:firstLine="8"/>
        <w:spacing w:after="0" w:line="297"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Represents 10,000,000 shares of BuzzFeed Class A common stock at a price of $9.62 per share, which is based on the Company’s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closing stock price for Class A common stock on the Closing Date.</w:t>
      </w:r>
    </w:p>
    <w:p>
      <w:pPr>
        <w:spacing w:after="0" w:line="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preliminary determination of the fair value of identifiable assets acquired and liabilities assumed from the C Acquisition. The purchase price allocation for the assets acquired and liabilities assumed may be subject to change as additional information is obtained during the acquisition measurement period. As the Company continues to finalize the fair value of assets acquired and liabilities assumed, purchase price adjustments have been recorded and additional purchase price adjustments may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be recorded during the measurement period. The Company reflects measurement period adjustments in the period in which the adjustments occur.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Updated Preliminary</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1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(5,855)</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(22,776)</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(1,468)</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Complex Networks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294,166</w:t>
            </w:r>
          </w:p>
        </w:tc>
        <w:tc>
          <w:tcPr>
            <w:tcW w:w="0" w:type="dxa"/>
            <w:vAlign w:val="bottom"/>
          </w:tcPr>
          <w:p>
            <w:pPr>
              <w:spacing w:after="0"/>
              <w:rPr>
                <w:sz w:val="1"/>
                <w:szCs w:val="1"/>
                <w:color w:val="auto"/>
              </w:rPr>
            </w:pPr>
          </w:p>
        </w:tc>
      </w:tr>
      <w:tr>
        <w:trPr>
          <w:trHeight w:val="426"/>
        </w:trPr>
        <w:tc>
          <w:tcPr>
            <w:tcW w:w="75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table below indicates the estimated fair value of each of the identifiable intangible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Asset Fair Value</w:t>
            </w:r>
          </w:p>
        </w:tc>
        <w:tc>
          <w:tcPr>
            <w:tcW w:w="10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Useful Life (Years)</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Trademarks &amp; tradenames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97,000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231F20"/>
              </w:rPr>
              <w:t>Customer relationships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Developed technology</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the fair value of customer relationships was determined using the multi-period excess earnings approach, and the fair value of acquired technology was determined using the replacement cost approach. The excess of purchase consideration over the fair value of net tangible and identifiable intangible assets acquired resulted in $188.6 million of goodwill, which is primarily attributed to workforce and synergies, and is not deductible for tax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information has been presented as if the C Acquisition occurred on January 1, 2020. The information is based on the historical results of operations of Complex Networks, adjusted for:</w:t>
      </w:r>
    </w:p>
    <w:p>
      <w:pPr>
        <w:spacing w:after="0" w:line="82" w:lineRule="exact"/>
        <w:rPr>
          <w:sz w:val="20"/>
          <w:szCs w:val="20"/>
          <w:color w:val="auto"/>
        </w:rPr>
      </w:pPr>
    </w:p>
    <w:p>
      <w:pPr>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purchase price and related adjustments, including adjustments to amortization expense related to the fair value of intangible assets acquired;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issuance of the Notes to partially fund the acquisition, including interest;</w:t>
      </w:r>
    </w:p>
    <w:p>
      <w:pPr>
        <w:spacing w:after="0" w:line="22"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and allocation of all acquisition-related costs incurred during the three months ended March 31, 2021 to the three months ended March 31, 2020;</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Associated tax-related impacts of adjustments;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align accounting policies.</w:t>
      </w:r>
    </w:p>
    <w:p>
      <w:pPr>
        <w:spacing w:after="0" w:line="247"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pro forma results do not necessarily represent what would have occurred if the C Acquisition had taken place on January 1, 2020, nor do they represent the results that may occur in the future. The pro forma adjustments were based on available information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7"/>
          <w:szCs w:val="17"/>
          <w:color w:val="auto"/>
        </w:rPr>
        <w:t>upon assumptions that the Company believes are reasonable to reflect the impact of this acquisition on the Company’s historical financial information on a supplemental pro forma basis. The following table presents the Company’s pro forma combined revenue and net loss.</w:t>
      </w:r>
    </w:p>
    <w:p>
      <w:pPr>
        <w:spacing w:after="0" w:line="65"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u w:val="single" w:color="auto"/>
          <w:color w:val="auto"/>
        </w:rPr>
        <w:t>Three Months Ended March 31,</w:t>
      </w:r>
    </w:p>
    <w:p>
      <w:pPr>
        <w:spacing w:after="0" w:line="1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2021</w:t>
      </w:r>
    </w:p>
    <w:tbl>
      <w:tblPr>
        <w:tblLayout w:type="fixed"/>
        <w:tblInd w:w="1000" w:type="dxa"/>
        <w:tblCellMar>
          <w:top w:w="0" w:type="dxa"/>
          <w:left w:w="0" w:type="dxa"/>
          <w:bottom w:w="0" w:type="dxa"/>
          <w:right w:w="0" w:type="dxa"/>
        </w:tblCellMar>
      </w:tblP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92,662</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HuffPost and Verizon Investment</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February 16, 2021, the Company completed the acquisition of 100% of TheHuffingtonPost.com, Inc. (“HuffPost”) (the “HuffPost Acquisition”), a publisher of online news and media content, from entities controlled by Verizon Communications Inc. (“Verizon”). The Company issued 6,478,032 shares of non-voting BuzzFeed Class C common stock to an entity controlled by Verizon, of which 2,639,322 were in exchange for the acquisition of HuffPost and 3,838,710 were in exchange for a concurrent $35.0 million cash investment in the Company by Verizon, which was accounted for as a separate transaction.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exchanged as a result of the HuffPost Acquisition: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w:t>
            </w:r>
            <w:r>
              <w:rPr>
                <w:rFonts w:ascii="Times New Roman" w:cs="Times New Roman" w:eastAsia="Times New Roman" w:hAnsi="Times New Roman"/>
                <w:sz w:val="26"/>
                <w:szCs w:val="26"/>
                <w:color w:val="auto"/>
                <w:vertAlign w:val="superscript"/>
              </w:rPr>
              <w:t>(1)</w:t>
            </w:r>
          </w:p>
        </w:tc>
        <w:tc>
          <w:tcPr>
            <w:tcW w:w="3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24,064</w:t>
            </w:r>
          </w:p>
        </w:tc>
      </w:tr>
      <w:tr>
        <w:trPr>
          <w:trHeight w:val="216"/>
        </w:trPr>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0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0"/>
        </w:trPr>
        <w:tc>
          <w:tcPr>
            <w:tcW w:w="5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23,574</w:t>
            </w:r>
          </w:p>
        </w:tc>
      </w:tr>
      <w:tr>
        <w:trPr>
          <w:trHeight w:val="20"/>
        </w:trPr>
        <w:tc>
          <w:tcPr>
            <w:tcW w:w="24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6" w:lineRule="exact"/>
        <w:rPr>
          <w:sz w:val="20"/>
          <w:szCs w:val="20"/>
          <w:color w:val="auto"/>
        </w:rPr>
      </w:pPr>
    </w:p>
    <w:p>
      <w:pPr>
        <w:jc w:val="both"/>
        <w:ind w:firstLine="8"/>
        <w:spacing w:after="0" w:line="281"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8,625,234 shares of Legacy BuzzFeed common stock issued at a value of $2.79 per share. The fair value per share was determined using Level 3 inputs using a combination of a market approach based on guideline public companies and an income approach based on estimated discounted cash flows.</w:t>
      </w:r>
    </w:p>
    <w:p>
      <w:pPr>
        <w:spacing w:after="0" w:line="9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The following table summarizes the determination of the fair value of identifiable assets acquired and liabilities assumed from the HuffPost Acquisition. During the year ended December 31, 2021, the Company finalized the fair value of assets acquired and liabilities assumed. Measurement period adjustments were reflected in the fourth quarter of 2021, which is the period in which the adjustments occurred. The adjustments resulted from deferred income tax adjustments.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Final</w:t>
            </w:r>
          </w:p>
        </w:tc>
        <w:tc>
          <w:tcPr>
            <w:tcW w:w="0" w:type="dxa"/>
            <w:vAlign w:val="bottom"/>
          </w:tcPr>
          <w:p>
            <w:pPr>
              <w:spacing w:after="0"/>
              <w:rPr>
                <w:sz w:val="1"/>
                <w:szCs w:val="1"/>
                <w:color w:val="auto"/>
              </w:rPr>
            </w:pPr>
          </w:p>
        </w:tc>
      </w:tr>
      <w:tr>
        <w:trPr>
          <w:trHeight w:val="173"/>
        </w:trPr>
        <w:tc>
          <w:tcPr>
            <w:tcW w:w="5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for HuffPost</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fair values of the intangible assets were estimated using Level 3 inputs. The fair value of trademarks and trade names was determined using the relief from royalty method and the fair value of acquired technology was determined using the replacement cost approach. The useful lives of the acquired trademarks and trade names and acquired technology are 15 years and three years, respectively. The excess of purchase consideration over the fair value of net tangible and identifiable intangible assets acquired resulted in $5.5 million of goodwill, which is primarily attributed to workforce and synergies, and is not deductible for tax purposes.</w:t>
      </w:r>
    </w:p>
    <w:p>
      <w:pPr>
        <w:spacing w:after="0" w:line="10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HuffPost Acquisition did not have a material impact on the Company’s revenue or net loss for the three months ended March 31, 2021.</w:t>
      </w:r>
    </w:p>
    <w:p>
      <w:pPr>
        <w:sectPr>
          <w:pgSz w:w="11900" w:h="16838" w:orient="portrait"/>
          <w:cols w:equalWidth="0" w:num="1">
            <w:col w:w="9920"/>
          </w:cols>
          <w:pgMar w:left="980" w:top="51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8100" w:firstLine="8"/>
        <w:spacing w:after="0" w:line="503"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18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0" w:type="dxa"/>
            <w:vAlign w:val="bottom"/>
          </w:tcPr>
          <w:p>
            <w:pPr>
              <w:spacing w:after="0"/>
              <w:rPr>
                <w:sz w:val="1"/>
                <w:szCs w:val="1"/>
                <w:color w:val="auto"/>
              </w:rPr>
            </w:pPr>
          </w:p>
        </w:tc>
      </w:tr>
      <w:tr>
        <w:trPr>
          <w:trHeight w:val="210"/>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18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231F20"/>
              </w:rPr>
              <w:t>Three Months Ended March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231F20"/>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United States</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83,100</w:t>
            </w:r>
          </w:p>
        </w:tc>
        <w:tc>
          <w:tcPr>
            <w:tcW w:w="38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65,602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International</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7,046</w:t>
            </w:r>
          </w:p>
        </w:tc>
        <w:tc>
          <w:tcPr>
            <w:tcW w:w="0" w:type="dxa"/>
            <w:vAlign w:val="bottom"/>
          </w:tcPr>
          <w:p>
            <w:pPr>
              <w:spacing w:after="0"/>
              <w:rPr>
                <w:sz w:val="1"/>
                <w:szCs w:val="1"/>
                <w:color w:val="auto"/>
              </w:rPr>
            </w:pPr>
          </w:p>
        </w:tc>
      </w:tr>
      <w:tr>
        <w:trPr>
          <w:trHeight w:val="209"/>
        </w:trPr>
        <w:tc>
          <w:tcPr>
            <w:tcW w:w="6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31F20"/>
              </w:rPr>
              <w:t>Total</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91,558</w:t>
            </w:r>
          </w:p>
        </w:tc>
        <w:tc>
          <w:tcPr>
            <w:tcW w:w="20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231F20"/>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72,648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receivables (contract assets), and deferred revenues (contract liabilities). The payment terms and conditions within the Company’s contracts vary by type, the substantial majority of which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or deferred revenue (customer payment is received in advance of performance). In addition, we have determined our contracts generally do not include a significant financing component.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$6.8 million and $13.3 million at March 31, 2022 and December 31, 2021, respectively. These amounts relate to revenue recognized during the respective year that is expected to be invoiced and collected in the next twelve months.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twelve-month period. Deferred revenue totaled and $3.1 million and $1.7 million at March 31, 2022 and December 31, 2021,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three months ended March 31, 2022 that was included in the deferred revenue balance as of December 31, 2021 was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certain licensing contracts with minimum guarantees and terms extending beyond one year. Revenue to be recognized related to the remaining performance obligations was $3.0 million at March 31, 2022 and is expected to be recognized over the next three years. This amount does not include: (i) contracts with an original expected duration of one year or less, such as advertising contracts, (ii) variable consideration in the form of sales-based royalties, and (iii) variable consideration allocated entirely to wholly unperformed performance obligations.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rPr>
              <w:t>March 31, 2022</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231F20"/>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31F20"/>
              </w:rPr>
              <w:t>Level 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Total</w:t>
            </w: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9"/>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6,450</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8,107</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247</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14,804</w:t>
            </w:r>
          </w:p>
        </w:tc>
      </w:tr>
      <w:tr>
        <w:trPr>
          <w:trHeight w:val="372"/>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2"/>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 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Private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warrant liability as of March 31, 2022 and December 31, 2021 includes public and private warrants that were originally issued by 890, but which were assumed by the Company as part of the Closing of the Business Combination (the “Public Warrants” and “Private Warrants”, respectively, or together, the “Public and Private Warrants”). The Public and Private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$0.85 and $0.50 as of March 31, 2022 and December 31, 2021,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resulted in the value of the derivative liability. The value of the straight-debt host instrument was estimated based on a binomial lattice model, excluding the conversion option and the make-whole payment upon conversion.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significant unobservable inputs used by the Company related to the derivative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2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73"/>
        </w:trPr>
        <w:tc>
          <w:tcPr>
            <w:tcW w:w="100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r>
      <w:tr>
        <w:trPr>
          <w:trHeight w:val="210"/>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31.5 %</w:t>
            </w:r>
          </w:p>
        </w:tc>
      </w:tr>
      <w:tr>
        <w:trPr>
          <w:trHeight w:val="432"/>
        </w:trPr>
        <w:tc>
          <w:tcPr>
            <w:tcW w:w="7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activity of the Level 3 instruments: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0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73"/>
        </w:trPr>
        <w:tc>
          <w:tcPr>
            <w:tcW w:w="1000" w:type="dxa"/>
            <w:vAlign w:val="bottom"/>
          </w:tcPr>
          <w:p>
            <w:pPr>
              <w:spacing w:after="0"/>
              <w:rPr>
                <w:sz w:val="15"/>
                <w:szCs w:val="15"/>
                <w:color w:val="auto"/>
              </w:rPr>
            </w:pPr>
          </w:p>
        </w:tc>
        <w:tc>
          <w:tcPr>
            <w:tcW w:w="66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that the Company does not exercise significant influence over,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Company had an investment in equity securities of a privately-held company without a readily determinable fair value. The total carrying value of the investment, included in prepaid and other assets on the condensed consolidated balance sheets, was $3.6 million and $2.3 million as of March 31, 2022 and December 31, 2021, respectively. The Company concluded that the fair value of the investment increased $1.3 million during the three months ended March 31, 2022 as the result of observable price changes in orderly transactions for a similar investment in the same issuer.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2022  December 31, 2021</w:t>
            </w: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Video equipment</w:t>
            </w: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59,384</w:t>
            </w: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(36,332)</w:t>
            </w: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w:t>
            </w:r>
          </w:p>
        </w:tc>
      </w:tr>
      <w:tr>
        <w:trPr>
          <w:trHeight w:val="20"/>
        </w:trPr>
        <w:tc>
          <w:tcPr>
            <w:tcW w:w="3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totaled $2.5 million and $1.9 million for the three months ended March 31, 2022 and 2021, respectively, included in Depreciation and amortization expense.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560" w:type="dxa"/>
            <w:vAlign w:val="bottom"/>
            <w:gridSpan w:val="3"/>
          </w:tcPr>
          <w:p>
            <w:pPr>
              <w:ind w:left="1640"/>
              <w:spacing w:after="0"/>
              <w:rPr>
                <w:sz w:val="20"/>
                <w:szCs w:val="20"/>
                <w:color w:val="auto"/>
              </w:rPr>
            </w:pPr>
            <w:r>
              <w:rPr>
                <w:rFonts w:ascii="Times New Roman" w:cs="Times New Roman" w:eastAsia="Times New Roman" w:hAnsi="Times New Roman"/>
                <w:sz w:val="14"/>
                <w:szCs w:val="14"/>
                <w:b w:val="1"/>
                <w:bCs w:val="1"/>
                <w:color w:val="auto"/>
              </w:rPr>
              <w:t>March 31,2022</w:t>
            </w:r>
          </w:p>
        </w:tc>
        <w:tc>
          <w:tcPr>
            <w:tcW w:w="14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31,2021</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1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81,908</w:t>
            </w:r>
          </w:p>
        </w:tc>
      </w:tr>
      <w:tr>
        <w:trPr>
          <w:trHeight w:val="216"/>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(65,354)</w:t>
            </w:r>
          </w:p>
        </w:tc>
      </w:tr>
      <w:tr>
        <w:trPr>
          <w:trHeight w:val="21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1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w:t>
            </w:r>
          </w:p>
        </w:tc>
      </w:tr>
      <w:tr>
        <w:trPr>
          <w:trHeight w:val="20"/>
        </w:trPr>
        <w:tc>
          <w:tcPr>
            <w:tcW w:w="4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capitalized $3.6 million and $1.3 million, respectively, included in Capitalized software costs and amortized $2.2 million and $3.0 million, respectively, included in Depreciation and amortization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rPr>
                <w:sz w:val="10"/>
                <w:szCs w:val="10"/>
                <w:color w:val="auto"/>
              </w:rPr>
            </w:pPr>
          </w:p>
        </w:tc>
        <w:tc>
          <w:tcPr>
            <w:tcW w:w="9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70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0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Acquired</w:t>
            </w: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4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5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111,000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109,644</w:t>
            </w:r>
          </w:p>
        </w:tc>
        <w:tc>
          <w:tcPr>
            <w:tcW w:w="0" w:type="dxa"/>
            <w:vAlign w:val="bottom"/>
          </w:tcPr>
          <w:p>
            <w:pPr>
              <w:spacing w:after="0"/>
              <w:rPr>
                <w:sz w:val="1"/>
                <w:szCs w:val="1"/>
                <w:color w:val="auto"/>
              </w:rPr>
            </w:pPr>
          </w:p>
        </w:tc>
      </w:tr>
      <w:tr>
        <w:trPr>
          <w:trHeight w:val="198"/>
        </w:trPr>
        <w:tc>
          <w:tcPr>
            <w:tcW w:w="1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Trademarks and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Indefinite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198"/>
        </w:trPr>
        <w:tc>
          <w:tcPr>
            <w:tcW w:w="1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Relationships</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17,000</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354</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16,646</w:t>
            </w:r>
          </w:p>
        </w:tc>
        <w:tc>
          <w:tcPr>
            <w:tcW w:w="0" w:type="dxa"/>
            <w:vAlign w:val="bottom"/>
          </w:tcPr>
          <w:p>
            <w:pPr>
              <w:spacing w:after="0"/>
              <w:rPr>
                <w:sz w:val="1"/>
                <w:szCs w:val="1"/>
                <w:color w:val="auto"/>
              </w:rPr>
            </w:pPr>
          </w:p>
        </w:tc>
      </w:tr>
      <w:tr>
        <w:trPr>
          <w:trHeight w:val="210"/>
        </w:trPr>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132,717</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intangible assets for the three months ended March 31, 2022 and 2021 was $3.8 million and $0.3 million, respectively, included in Depreciation and amortization expense.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as of March 31, 2022 is as follows (in thousands):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new three-year, $50.0 million, revolving loan and standby letter of credit facility agreement (the “Revolving Credit Facility”). The Revolving Credit Facility provides for the issuance of up to $15.5 million of standby letters of credit and aggregate borrowings under the Revolving Credit Facility are generally limited to 95% of qualifying investment grade accounts receivable and 90% of qualifying non-investment grade accounts receivable, subject to adjustment at the discretion of the lenders. The Revolving Credit Facility includes covenants that, among other things, require the Company to maintain at least $25.0 million of unrestricted cash at all times, and limits the ability of the Company to incur additional indebtedness, pay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hold unpermitted investments, or make material changes to the business. The Company was in compliance with the financial covenant as of March 31, 2022. The $15.5 million of standby letters of credit were issued during the three months ended March 31, 2021 in favor of certain of the Company’s landlords. The Revolving Credit Facility was amended and restated in connection with the closing of the Business Combination, namely to, among other things, add the Company and certain other entities as guarantors.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LIBOR, subject to a floor rate of 0.75%, plus a margin of 3.75% to 4.25%, depending on the level of the Company’s utilization of the facility (4.50% at March 31, 2022), and subject to a monthly minimum utilization of $15.0 million. The facility also includes an unused commitment fee of 0.375%.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outstanding borrowings of $28.5 million and outstanding letters of credit of $15.5 million under the Revolving Credit Facility at March 31, 2022 and December 31, 2021. The total unused borrowing capacity was $6.0 million and $5.4 million as of March 31, 2022 and December 31, 2021,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Company had $0.3 million of costs in connection with the issuance of debt included in prepaid and other assets in the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2021, the Company entered into subscription agreements with certain purchasers to sell $150.0 million aggregate principal amount of unsecured convertible notes due 2026. In connection with the Business Combination, the Company completed the Convertible Note Financing of $150.0 million of unsecured convertible notes. The Notes bear interest at a rate of 8.50% per annum, payable semi-annually. The Notes are convertible into shares of Class A common stock, or a combination of cash and Class A common stock, at the Company’s election, at an initial conversion price of $12.50 and mature on December 3, 2026.</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the third anniversary of the issuance of the Notes, subject to a holder’s prior right to convert and certain other conditions, if the volume-weighted average trading price of the BuzzFeed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the Company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the Company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intellectual property, or enter into transactions with affiliates.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15% and totaled $4.3 million for the three months ended March 31, 2022, of which amortization of the debt discount and issuance costs comprised $1.2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March 31, 2022 and December 31, 2021 was: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31, 2022  December 31, 2021</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(35,473)</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w:t>
            </w:r>
          </w:p>
        </w:tc>
      </w:tr>
      <w:tr>
        <w:trPr>
          <w:trHeight w:val="209"/>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113,373</w:t>
            </w: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was approximately $127.5 million and $126.0 million as of March 31, 2022 and December 31, 2021, respectively. The fair value of the Notes was estimated using Level 3 inputs.</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redeemable noncontrolling interest represents the interests in BuzzFeed Japan held by Yahoo Japan, which is puttable to the Company in certain conditions, none of which were met at March 31, 2022, including material breach of the Joint Venture Agreement with Yahoo Japan (“JVA”) by the Company or the bankruptcy or liquidation of the Company. The redeemable noncontrolling interest is presented outside of the permanent equity on the Company’s condensed consolidated balance sheets as the put right is outside of the Company’s control. Pursuant to the terms of the original JVA, Yahoo Japan held a 49% interest in BuzzFeed Japan. On May 1, 2021, The HuffingtonPost Japan, Limited, a consolidated subsidiary, merged into BuzzFeed Japan. As a result of the merger, Yahoo Japan’s interest in the combined entity was diluted to 24.5%.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reconciliation of changes in redeemable noncontrolling interest:</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January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Balance as of March 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640" w:firstLine="8"/>
        <w:spacing w:after="0" w:line="503" w:lineRule="auto"/>
        <w:tabs>
          <w:tab w:leader="none" w:pos="6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authorized the issuance of 50,000,000 shares of preferred stock, par value $0.0001 per share. The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March 31, 2022 or December 31, 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tcPr>
          <w:p>
            <w:pPr>
              <w:jc w:val="right"/>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5"/>
                <w:szCs w:val="15"/>
                <w:color w:val="auto"/>
              </w:rPr>
            </w:pPr>
          </w:p>
        </w:tc>
        <w:tc>
          <w:tcPr>
            <w:tcW w:w="8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at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 total share-based compensation costs not yet recognized related to unvested stock options was $3.0 million, which is expected to be recognized over the weighted-average remaining requisite service period of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2022, there was approximately $23.3 million of unrecognized compensation costs related to RSUs. Included in the above are 2.5 million RSUs that vest based on service and upon the occurrence of a sale transaction (“Acquisition”) or the completion of an initial public offering (“Liquidity 1 RSUs”). The Two-Step Merger did not result in the satisfaction of this liquidity condition as it does not meet the definition of an Acquisition per the award agreements. Unrecognized compensation costs related to these RSUs totaled $21.2 million at March 31, 2022.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12, 2022, the Board of Directors waived the liquidity condition associated with the Liquidity 1 RSUs, permitting them to vest (based on service). Refer to Note 20 of our unaudited condensed consolidated financial statements included elsewhere in this Quarterly Report on Form 10-Q for additional information with respect to the Liquidity 1 RSUs and the waiver.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 included in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stock options, the vesting of RSUs, the exercise of warrants, the conversion of the Notes, and the conversion of convertible preferred stock only in the periods in which such effect would have been dilutive.</w:t>
      </w:r>
    </w:p>
    <w:p>
      <w:pPr>
        <w:spacing w:after="0" w:line="9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convertible preferred stock did not participate in losses and, accordingly, losses for the three months ended March 31, 2021 were allocated entirely to holders of Class A, Class B, and Class C common stock. For the three months ended March 31, 2022 and 2021, net loss per share amounts were the same for Class A, Class B, and Class C common stock because the holders of each class are entitled to equal per share dividends.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231F20"/>
              </w:rPr>
              <w:t>(44,566)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Net loss attributable to holders of Class A, Class B, and Class C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w:t>
            </w:r>
          </w:p>
        </w:tc>
      </w:tr>
      <w:tr>
        <w:trPr>
          <w:trHeight w:val="20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net income (loss) per share as the effect would have been anti-dilutive:</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9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31F20"/>
              </w:rPr>
              <w:t>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231F20"/>
              </w:rPr>
              <w:t>Convertible notes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94,360</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Additionally, the calculation of diluted loss per share excluded 2.5 million and 5.3 million RSUs at March 31, 2022 and 2021, respectively, for which the related liquidity condition had not been met.</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960" w:type="dxa"/>
            <w:vAlign w:val="bottom"/>
            <w:gridSpan w:val="7"/>
          </w:tcPr>
          <w:p>
            <w:pPr>
              <w:ind w:left="1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9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shd w:val="clear" w:color="auto" w:fill="CCEEFF"/>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231F20"/>
              </w:rPr>
              <w:t>Effective tax rate</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the Company’s effective tax rate differed from the U.S. federal statutory income tax rate of 21% primarily due to a valuation allowance against net deferred tax assets that were not realizable on a more-likely-than-not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basis; however, the Company recorded a $4.3 million discrete tax benefit related to the release of a portion of the Company’s previously established valuation allowance to offset deferred tax liabilities arising from the HuffPost Acquisition.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United States, the United Kingdom, Japan, and Canada.</w:t>
      </w:r>
    </w:p>
    <w:p>
      <w:pPr>
        <w:spacing w:after="0" w:line="18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comprised mainly of severance and related benefit costs, of which $1.3 million were included in cost of revenue, excluding depreciation and amortization, $0.2 million were included in sales and marketing, and $0.3 million were included in general and administrative. As of March 31, 2022, the $1.8 million of restructuring costs remain unpaid and are included in Accrued compensation on the condensed consolidated balance sheet. These costs are expected to be paid in the second quarter of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have 45 days from May 6, 2022, to indicate whether they will accept the Company’s voluntary buyout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the Company announced a restructuring of HuffPost, including employee terminations, in order to efficiently integrate the HuffPost Acquisition and establish an efficient cost structure. The Company incurred approximately $3.6 million in severance costs related to the restructuring, of which $3.2 million were included in cost of revenue, excluding depreciation and amortization, $0.3 million were included in sales and marketing, and $0.1 million were included in research and development.</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various expiration dates through 2029. The Company accounts for leases under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months ended March 31, 2022:</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8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condensed consolidated balance sheet related to operating leases: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73,103</w:t>
            </w:r>
          </w:p>
        </w:tc>
      </w:tr>
      <w:tr>
        <w:trPr>
          <w:trHeight w:val="209"/>
        </w:trPr>
        <w:tc>
          <w:tcPr>
            <w:tcW w:w="34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73,103</w:t>
            </w: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24,258</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66,174</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90,432</w:t>
            </w:r>
          </w:p>
        </w:tc>
      </w:tr>
      <w:tr>
        <w:trPr>
          <w:trHeight w:val="42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4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09"/>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8,419</w:t>
            </w:r>
          </w:p>
        </w:tc>
      </w:tr>
      <w:tr>
        <w:trPr>
          <w:trHeight w:val="378"/>
        </w:trPr>
        <w:tc>
          <w:tcPr>
            <w:tcW w:w="3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34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13.00 %</w:t>
            </w:r>
          </w:p>
        </w:tc>
      </w:tr>
      <w:tr>
        <w:trPr>
          <w:trHeight w:val="41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2022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69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34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25,769</w:t>
            </w:r>
          </w:p>
        </w:tc>
      </w:tr>
      <w:tr>
        <w:trPr>
          <w:trHeight w:val="216"/>
        </w:trPr>
        <w:tc>
          <w:tcPr>
            <w:tcW w:w="3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32,174</w:t>
            </w:r>
          </w:p>
        </w:tc>
      </w:tr>
      <w:tr>
        <w:trPr>
          <w:trHeight w:val="216"/>
        </w:trPr>
        <w:tc>
          <w:tcPr>
            <w:tcW w:w="3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23,859</w:t>
            </w:r>
          </w:p>
        </w:tc>
      </w:tr>
      <w:tr>
        <w:trPr>
          <w:trHeight w:val="216"/>
        </w:trPr>
        <w:tc>
          <w:tcPr>
            <w:tcW w:w="3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21,123</w:t>
            </w:r>
          </w:p>
        </w:tc>
      </w:tr>
      <w:tr>
        <w:trPr>
          <w:trHeight w:val="216"/>
        </w:trPr>
        <w:tc>
          <w:tcPr>
            <w:tcW w:w="3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8,415</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2,574</w:t>
            </w:r>
          </w:p>
        </w:tc>
      </w:tr>
      <w:tr>
        <w:trPr>
          <w:trHeight w:val="210"/>
        </w:trPr>
        <w:tc>
          <w:tcPr>
            <w:tcW w:w="3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113,914</w:t>
            </w:r>
          </w:p>
        </w:tc>
      </w:tr>
      <w:tr>
        <w:trPr>
          <w:trHeight w:val="216"/>
        </w:trPr>
        <w:tc>
          <w:tcPr>
            <w:tcW w:w="3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(23,482)</w:t>
            </w:r>
          </w:p>
        </w:tc>
      </w:tr>
      <w:tr>
        <w:trPr>
          <w:trHeight w:val="210"/>
        </w:trPr>
        <w:tc>
          <w:tcPr>
            <w:tcW w:w="340" w:type="dxa"/>
            <w:vAlign w:val="bottom"/>
          </w:tcPr>
          <w:p>
            <w:pPr>
              <w:spacing w:after="0"/>
              <w:rPr>
                <w:sz w:val="18"/>
                <w:szCs w:val="18"/>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90,432</w:t>
            </w:r>
          </w:p>
        </w:tc>
      </w:tr>
      <w:tr>
        <w:trPr>
          <w:trHeight w:val="20"/>
        </w:trPr>
        <w:tc>
          <w:tcPr>
            <w:tcW w:w="3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March 31,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4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leases having initial or remaining non-cancelable lease terms in excess of one year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are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23,885</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09"/>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w:t>
            </w: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6720" w:firstLine="8"/>
        <w:spacing w:after="0" w:line="503" w:lineRule="auto"/>
        <w:tabs>
          <w:tab w:leader="none" w:pos="64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2018, at the time of its equity investment in a private company, the Company agreed to guarantee the lease of the investee’s premises in New York. In October 2020, the investee renewed its lease agreement, and the Company’s prior guarantee was replaced with a new guarantee of up to $5.4 million. The amount of the guarantee is reduced as the investee makes payments under the lease. As of March 31, 2022, the maximum amount of the guarantee was $2.3 million, and no liability was recognized with respect to the guarantee.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we do not believe that the resolution of these matters will have a material adverse effect on the Company’s future results of operations or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months ended March 31, 2022 and 2021 that did not individually or in the aggregate have a material impact on the Company’s business or its condensed consolidated balance sheets, results of operations or cash flows.</w:t>
      </w:r>
    </w:p>
    <w:p>
      <w:pPr>
        <w:spacing w:after="0" w:line="18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(“CEO”)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8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revenue from NBCUniversal Media, LLC (“NBCU”) of $0.5 million and $0.1 million for the three months ended March 31, 2022 and 2021, respectively. The Company recognized expenses under contractual obligations from NBCU of $0.2 million and $0.2 million for the three months ended March 31, 2022 and 2021, respectively. The Company had outstanding receivable balances of $0.6 million and $1.2 million from NBCU as of March 31, 2022 and December 31, 2021, respectively. The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had outstanding payable balances of $0.5 million and $0.3 million to NBCU as of March 31, 2022 and December 31, 2021, respectively.</w:t>
      </w:r>
    </w:p>
    <w:p>
      <w:pPr>
        <w:spacing w:after="0" w:line="158" w:lineRule="exact"/>
        <w:rPr>
          <w:sz w:val="20"/>
          <w:szCs w:val="20"/>
          <w:color w:val="auto"/>
        </w:rPr>
      </w:pPr>
    </w:p>
    <w:p>
      <w:pPr>
        <w:ind w:right="7680" w:firstLine="8"/>
        <w:spacing w:after="0" w:line="503"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Feature films in production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10"/>
        </w:trPr>
        <w:tc>
          <w:tcPr>
            <w:tcW w:w="7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amortization of film costs was recorded during the three months ended March 31,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paid for income taxes, net</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231F20"/>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6"/>
              </w:rPr>
              <w:t>218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816</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231F20"/>
              </w:rPr>
              <w:t>Cash paid for interest</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173</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Non-cash investing and financing activities: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Accounts payable and accrued expenses related to property and equipment</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384</w:t>
            </w: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Issuance of common stock for HuffPost Acquisition</w:t>
            </w:r>
          </w:p>
        </w:tc>
        <w:tc>
          <w:tcPr>
            <w:tcW w:w="7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6, 2022, the BuzzFeed News Union ratified a collective bargaining agreement with the Company. Also on May 6, 2022, the Company presented BuzzFeed News employees with the final negotiated voluntary buyout proposal. Employees have 45 days from May 6, 2022 , to indicate whether they will accept the Company’s voluntary buyout proposal. The amount of expense the Company will recognize will depend on the number of employees who accept the voluntary buyout proposal, as well as their respective salaries and years of service. Refer to Note 14 of our unaudited condensed consolidated financial statements included elsewhere in this Quarterly Report on Form 10-Q for additional information with respect to our restructuring activities.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2022, the Board of Directors waived the liquidity condition associated with the Liquidity 1 RSUs, permitting the RSUs to vest (based on service). This waiver represented a modification under ASC 718, and as the Liquidity 1 RSUs were not considered probable of vesting prior to the modification, the Company remeasured the Liquidity 1 RSUs based on our closing stock price on May 12, 2022. The Company recognized approximately $8.2 million of stock-based compensation associated with these RSUs in the second quarter of 2022. There were 2.4 million Liquidity 1 RSUs outstanding as of May 12, 2022, and 2.1 million were vested based on service (0.1 million of these RSUs belong to our Named Executive Officers). Refer to Note 11 of our unaudited condensed consolidated financial statements included elsewhere in this Quarterly Report on Form 10-Q for additional information with respect to the Liquidity 1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titled “Risk Factors” and “Cautionary Note Regarding Forward-Looking Statements” included elsewhere in this Quarterly Report on Form 10-Q and in our other SEC filings.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food, news, pop culture and commerce, our brands drive conversation and inspire what audiences watch, read, buy, and obsess over next. With a portfolio of iconic, globally-loved brands that includes BuzzFeed, Tasty, BuzzFeed News, HuffPost, and Complex Networks, the Company reaches more than 100 million viewers monthly. And, across our combined network of brands, we are the number one destination for Gen Z and Millennials amongst our competitive set.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enabled us to create category-leading brands and a deep, two-way connection with our audiences, as well as high-quality content at massive scale and low cost. Working across platforms allows us to adapt content from one platform and innovate around new formats to drive engagement on other platforms. This means we can reach our audiences wherever they are — across our owned and operated properties and the major social platforms, including Facebook, Twitter, Instagram, Snapchat, YouTube and TikTok. In 2021, our audiences consumed nearly 800 million hours of content which drove approximately $600 million in attributable transactions.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digital media landscape has evolved, so has our business model. Our strength has always been to adapt as the world changes.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prioritized investments to focus on revenue diversification and profitability.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Above all, BuzzFeed’s mission is to spread truth, joy and creativity. We are committed to making the Internet better: providing trusted, quality, brand-safe entertainment and news; making content on the Internet more inclusive, empathetic and creative; and inspiring our audience to live better lives.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HuffPost Acquisition and Verizon Investment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16, 2021, we completed the acquisition of TheHuffingtonPost.com, Inc. (“HuffPost”) (excluding HuffPost’s business in Brazil and India) (the “HuffPost Acquisition”), a publisher of online news and media content, from entities controlled by Verizon Communications Inc. (“Verizon”). We issued 6,478,032 shares of non-voting BuzzFeed Class C common stock to an entity controlled by Verizon, of which 2,639,322 were in exchange for the acquisition of HuffPost and 3,838,710 were in exchange for a concurrent $35.0 million cash investment in BuzzFeed by an affiliate of Verizon, which was accounted for as a separate transaction. The share amounts presented in the preceding sentence give effect to the Reverse Recapitalization.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24, 2021, we entered into the Merger Agreement by and among 890, Merger Sub I, Merger Sub II, and Legacy BuzzFeed. 890 was a special purpose acquisition company formed to acquire one or more operating businesses through a business combination. The Merger Agreement provided for, among other things, the following transactions at the closing: Merger Sub I merged with and into Legacy BuzzFeed, with Legacy BuzzFeed as the surviving company in the merger and, after giving effect to such merger, continuing as a wholly owned subsidiary of 890. Immediately following the Merger, Legacy BuzzFeed merged with and into Merger</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 II with Merger Sub II being the surviving company of the second merger. In connection with the business combination, 890 was renamed “BuzzFeed, Inc.”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on March 27, 2021, we entered into the C Acquisition Purchase Agreement to acquire 100% of the outstanding membership interests of CM Partners, in exchange for $200.0 million of cash as adjusted for Closing Specified Liabilities (as defined in the C Acquisition Purchase Agreement) and 10,000,000 shares of BuzzFeed Class A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Two-Step Merger, C Acquisition, and other transactions contemplated by the Merger Agreement are referred to as the Business Combination. The Business Combination closed on December 3, 2021. Upon the consummation of the Business Combination, the new combined company was renamed BuzzFeed, Inc.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Two-Step Merger was accounted for as a reverse capitalization in accordance with GAAP. Under the guidance in ASC 805, 890 was treated as the “acquired” company for financial reporting purposes. We were deemed the accounting predecessor of the combined business and will be the successor SEC registrant, meaning that our consolidated financial statements for previous periods will be disclosed in the registrant’s future periodic reports filed with the SEC.</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Two-Step Merger satisfied a liquidity condition for 2.7 million RSUs and the Company recognized approximately $16.0 million of incremental stock-based compensation expense as a cumulative catch-up adjustment based on the number of RSUs outstanding and the requisite service completed at December 3, 2021 (“Liquidity 2 RSUs”). There are a further 2.5 million restricted stock units with a liquidity condition that the Two-Step Merger did not satisfy (“Liquidity 1 RSUs”). There is $21.2 million of unrecognized compensation expense associated with the Liquidity 1 RSUs at March 31, 2022. On May 12, 2022, the Board of Directors waived the liquidity condition associated with the Liquidity 1 RSUs, permitting the RSUs to vest (based on service). The Company recognized approximately $8.2 million of stock-based compensation associated with these RSUs in the second quarter of 2022. See Notes 11 and 20 to the condensed consolidated financial statements in Item 1 of this Form 10-Q for additional details.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Merger Agreement, the Company issued, and certain investors purchased, $150.0 million aggregate principal of unsecured convertible notes due 2026 (the “Notes”) concurrently with the closing of the Business Combination. Refer to Note 9 to the unaudited condensed consolidated financial statements in Item 1 of this Form 10-Q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22, 2022, in connection with the acquisition of Complex Networks, the Company approved certain organizational changes to align sales and marketing and general and administrative functions as well as changes in content to better serve audience demands. The Company incurred approximately $1.8 million of restructuring costs, comprised mainly of severance and related benefit costs, of which $1.3 million were included in cost of revenue, excluding depreciation and amortization, $0.2 million were included in sales and marketing, and $0.3 million were included in general and administrative.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on March 22, 2022, as part of a strategic repositioning of BuzzFeed News, the Company shared with NewsGuild, the representative of the BuzzFeed News bargaining unit, a voluntary buyout proposal covering certain desks. That proposal was then negotiated as part of collective bargaining between the BuzzFeed News Union and the Company. On May 6, 2022 the BuzzFeed News Union ratified its collective bargaining agreement with the Company. Also on May 6, 2022, the Company presented BuzzFeed News employees, including members of the BuzzFeed News bargaining unit, with the final negotiated voluntary buyout proposal. Employees have 45 days from May 6, 2022, to indicate whether they will accept the Company’s voluntary buyout proposal.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9, 2021, we announced a restructuring of HuffPost, including employee terminations, in order to efficiently integrate the HuffPost Acquisition and establish an efficient cost structure. We incurred approximately $3.6 million in severance costs related to the restructuring, of which $3.2 million were included in cost of revenue, $0.3 million were included in sales and marketing, and $0.1 million were included in research and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viral strain of COVID-19 a global pandemic and recommended containment and mitigation measures worldwide. The spread of COVID-19 and the resulting economic contraction has resulted in increased business uncertainty and significantly impacted our business and results of operations.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COVID-19 pandemic drove a shift in commerce from offline to online, including an increase in online shopping, which we believe contributed to the rapid growth we experienced in our commerce revenue for fiscal 2020. However, the growth of our commerce revenue has decelerated during 2021 and continuing in the first quarter of 2022 as shelter-in-place orders were lifted, consumers returned to shopping in stores, and retailers struggled with supply chain disruptions and labor shortages.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duration and severity of the COVID-19 pandemic is uncertain, rapidly changing, and difficult to predict. The degree to which COVID-19-related disruptions impact the Company’s future results will depend on future developments, which are outside of the Company’s control, including, but not limited to, the duration of the pandemic, its severity, the success of actions taken to contain or prevent the virus or treat its impact, and how quickly and to what extent normal economic and operating conditions can resume. Our growth rate may continue to be impacted by additional macroeconomic factors beyond our control, such as inflation, retail businesses reopening, increased consumer spending on travel and other discretionary items, and the absence of new U.S. and other government economic stimulus programs, among other things.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4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GAAP</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15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0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Time Spent</w:t>
            </w:r>
            <w:r>
              <w:rPr>
                <w:rFonts w:ascii="Times New Roman" w:cs="Times New Roman" w:eastAsia="Times New Roman" w:hAnsi="Times New Roman"/>
                <w:sz w:val="25"/>
                <w:szCs w:val="25"/>
                <w:color w:val="auto"/>
                <w:vertAlign w:val="superscript"/>
              </w:rPr>
              <w:t>(2)</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2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 on third-party platforms</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194310</wp:posOffset>
            </wp:positionV>
            <wp:extent cx="1568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73" w:lineRule="exact"/>
        <w:rPr>
          <w:sz w:val="20"/>
          <w:szCs w:val="20"/>
          <w:color w:val="auto"/>
        </w:rPr>
      </w:pPr>
    </w:p>
    <w:p>
      <w:pPr>
        <w:ind w:left="340" w:right="20" w:hanging="332"/>
        <w:spacing w:after="0" w:line="284" w:lineRule="auto"/>
        <w:tabs>
          <w:tab w:leader="none" w:pos="34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income (loss)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United States (“GAAP”).</w:t>
      </w:r>
    </w:p>
    <w:p>
      <w:pPr>
        <w:spacing w:after="0" w:line="160" w:lineRule="exact"/>
        <w:rPr>
          <w:rFonts w:ascii="Times New Roman" w:cs="Times New Roman" w:eastAsia="Times New Roman" w:hAnsi="Times New Roman"/>
          <w:sz w:val="17"/>
          <w:szCs w:val="17"/>
          <w:color w:val="231F20"/>
        </w:rPr>
      </w:pPr>
    </w:p>
    <w:p>
      <w:pPr>
        <w:jc w:val="both"/>
        <w:ind w:left="340" w:hanging="332"/>
        <w:spacing w:after="0" w:line="252" w:lineRule="auto"/>
        <w:tabs>
          <w:tab w:leader="none" w:pos="34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We define Time Spent as the estimated total number of hours spent by users on (i) our owned and operated U.S. properties, (ii) our content on Apple News, (iii) our content on YouTube in the U.S., as reported by Comscore, and (iv) our content on Facebook, as reported by Facebook. Time Spent does not reflect time spent with our content across all platforms, including some on which we generated a portion of our advertising revenue, and excludes time spent with our content on platforms for which we do not have advertising capabilities that materially contribute to our Advertising revenues, including TikTok, Instagram, Snapchat and Twitter. There are inherent challenges in measuring the total actual number of hours spent with our content across all platforms; however, we consider the data reported by Comscore and Facebook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the volume of purchases made through our affiliate links, and the overall value of our offerings to our customers.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Time Spent for the quarter ended March 31, 2022 decreased by 4% driven by a decline in time spent by users on Facebook, partially offset by the HuffPost Acquisition and the C Acquisition. Excluding the impact of the HuffPost Acquisition and the C Acquisition, Time Spent declined consistent with broader industry trends.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60" w:hanging="328"/>
        <w:spacing w:after="0" w:line="25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including Facebook and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revenues derived from sources where we are unable to obtain impression data. We generate an immaterial portion of our advertising revenue on platforms excluded from our measurement of Time Spent.</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customer advertising and feature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films. Content revenue is recognized when the content, or the related action (click or view), is delivered.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arrangements with third parties whereby we provide affiliate links which redirect the audience to purchase products and/or services from the third parties. When the participant purchases a product and/or service, we receive a commission fee for that sale from the third party. Affiliate marketplace revenue is recognized when a successful sale is made and the commission is earned.</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Consists primarily of compensation-related expenses and costs incurred for the creation of editorial,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promotional, and news content across all platforms, as well as amounts due to third-party websites and platforms to fulfill customers’ advertising campaigns. Web hosting and advertising serving platform costs are also included in cost of revenue.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include advertising costs and market research.</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facilities, professional services fees, insurance costs, and other general overhead costs.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to, and 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software costs.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and other miscellaneous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expenses.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highly liquid short-term investments.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 of our Public Warrants listed on Nasdaq under the symbol “BZFDW.”</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$150.0 million aggregate principal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convertible notes due 2026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Represents federal, state and local taxes based on income in multiple domestic and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months ended March 31, 2022 and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72,648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42,123</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Sales and marketing</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17,803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11,378</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23,702</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6,699</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5,269</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126,856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89,171</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(16,523)</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862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660</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(278)</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(44,216)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(16,141)</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(4,816)</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231F20"/>
              </w:rPr>
              <w:t>Net loss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(44,566)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(11,325)</w:t>
            </w: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w:t>
            </w: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(18)</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(44,894)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(11,367)</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Costs and expenses include stock-based compensation expense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100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980" w:type="dxa"/>
            <w:vAlign w:val="bottom"/>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w:t>
            </w:r>
          </w:p>
        </w:tc>
        <w:tc>
          <w:tcPr>
            <w:tcW w:w="980" w:type="dxa"/>
            <w:vAlign w:val="bottom"/>
          </w:tcPr>
          <w:p>
            <w:pPr>
              <w:spacing w:after="0"/>
              <w:rPr>
                <w:sz w:val="18"/>
                <w:szCs w:val="18"/>
                <w:color w:val="auto"/>
              </w:rPr>
            </w:pPr>
          </w:p>
        </w:tc>
      </w:tr>
      <w:tr>
        <w:trPr>
          <w:trHeight w:val="858"/>
        </w:trPr>
        <w:tc>
          <w:tcPr>
            <w:tcW w:w="60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648"/>
        <w:spacing w:after="0" w:line="296"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18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1000" w:type="dxa"/>
            <w:vAlign w:val="bottom"/>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Borders>
              <w:bottom w:val="single" w:sz="8" w:color="CCEEFF"/>
            </w:tcBorders>
          </w:tcPr>
          <w:p>
            <w:pPr>
              <w:spacing w:after="0"/>
              <w:rPr>
                <w:sz w:val="12"/>
                <w:szCs w:val="12"/>
                <w:color w:val="auto"/>
              </w:rPr>
            </w:pPr>
          </w:p>
        </w:tc>
      </w:tr>
      <w:tr>
        <w:trPr>
          <w:trHeight w:val="210"/>
        </w:trPr>
        <w:tc>
          <w:tcPr>
            <w:tcW w:w="100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Revenue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Costs and expenses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Cost of revenue, excluding depreciation and amortization</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58 %</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Sales and marketing</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20 %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33 %</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7 %</w:t>
            </w:r>
          </w:p>
        </w:tc>
      </w:tr>
      <w:tr>
        <w:trPr>
          <w:trHeight w:val="209"/>
        </w:trPr>
        <w:tc>
          <w:tcPr>
            <w:tcW w:w="1000" w:type="dxa"/>
            <w:vAlign w:val="bottom"/>
          </w:tcPr>
          <w:p>
            <w:pPr>
              <w:spacing w:after="0"/>
              <w:rPr>
                <w:sz w:val="18"/>
                <w:szCs w:val="18"/>
                <w:color w:val="auto"/>
              </w:rPr>
            </w:pPr>
          </w:p>
        </w:tc>
        <w:tc>
          <w:tcPr>
            <w:tcW w:w="5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231F20"/>
              </w:rPr>
              <w:t>Total costs and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139</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123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0"/>
        </w:trPr>
        <w:tc>
          <w:tcPr>
            <w:tcW w:w="100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operations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Other income, net</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1 %</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Interest expense, net</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(5)%</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Change in fair value of warrant liabilities</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(4)%</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Change in fair value of derivative liability</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rPr>
              <w:t>(2)%</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Loss before income taxes</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(49)%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(22)%</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w:t>
            </w:r>
          </w:p>
        </w:tc>
      </w:tr>
      <w:tr>
        <w:trPr>
          <w:trHeight w:val="209"/>
        </w:trPr>
        <w:tc>
          <w:tcPr>
            <w:tcW w:w="100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Net loss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1000" w:type="dxa"/>
            <w:vAlign w:val="bottom"/>
          </w:tcPr>
          <w:p>
            <w:pPr>
              <w:spacing w:after="0"/>
              <w:rPr>
                <w:sz w:val="18"/>
                <w:szCs w:val="18"/>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Net income attributable to the redeemable noncontrolling interest</w:t>
            </w:r>
          </w:p>
        </w:tc>
        <w:tc>
          <w:tcPr>
            <w:tcW w:w="11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Net income (loss) attributable to noncontrolling interests</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i w:val="1"/>
                <w:iCs w:val="1"/>
                <w:color w:val="231F20"/>
              </w:rPr>
              <w:t>—</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i w:val="1"/>
                <w:iCs w:val="1"/>
                <w:color w:val="231F20"/>
              </w:rPr>
              <w:t>—</w:t>
            </w:r>
          </w:p>
        </w:tc>
      </w:tr>
      <w:tr>
        <w:trPr>
          <w:trHeight w:val="210"/>
        </w:trPr>
        <w:tc>
          <w:tcPr>
            <w:tcW w:w="1000" w:type="dxa"/>
            <w:vAlign w:val="bottom"/>
          </w:tcPr>
          <w:p>
            <w:pPr>
              <w:spacing w:after="0"/>
              <w:rPr>
                <w:sz w:val="18"/>
                <w:szCs w:val="18"/>
                <w:color w:val="auto"/>
              </w:rPr>
            </w:pPr>
          </w:p>
        </w:tc>
        <w:tc>
          <w:tcPr>
            <w:tcW w:w="5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attributable to BuzzFeed, Inc.</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31F20"/>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102"/>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Content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and other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Advertising revenue increased $10.0 million, or 26%, for the quarter ended March 31, 2022 driven by a $10.9 million, or 39%, increase in advertising on our owned and operated properties, partially offset by a $0.9 million, or 8%, decrease in advertising on third-party platforms. The increase in advertising revenues on our owned and operated properties reflects the acquisition of Complex Networks, which contributed $7.8 million of advertising revenue, and HuffPost, which closed on February 16, 2021 and contributed an incremental $2.2 million of advertising revenue compared to the prior year quarter. The decrease in advertising revenues from third-party platforms reflects a contribution of $2.5 million from Complex Networks. Excluding the impact of Complex Networks, advertising revenue decreased by $3.4 million, or 32%, reflecting a 35% decline in the number of programmatic impressions delivered driven by the continued decline in Facebook-related impressions, partially offset by a 13% increase in overall pricing.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Content revenue increased by $12.7 million, or 65%, for the quarter ended March 31, 2022, principally driven by the acquisition of Complex Networks which contributed $12.1 million of content revenue.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Commerce and other revenue decreased by $3.8 million, or 27%, for the quarter ended March 31, 2022, primarily reflecting a decline in the number of purchases generated driven by a comparison against heightened purchasing activity in the first quarter of 2021 related to the impact of COVID-19, as well as a decline in Facebook referred traffic. This decline was offset in part by the acquisition of Complex Networks.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42,123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66 %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58 %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 increased by $18.7 million, or 44%, primarily reflecting $8.9 million of costs related to Complex Networks, a $6.7 million increase in other costs of sales reflecting the growth in revenue, a $3.7 million increase in compensation costs, and $1.3 million of restructuring costs, partially offset by the comparison against the $3.2 million of severance costs related to HuffPost in the quarter ended March 31, 2021. Cost of revenues increased as a percentage of revenue for the three months ended March 31, 2022 due to a change in revenue mix year-over-year.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231F20"/>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Sales and marketing</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11,378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20 %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16 %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$6.4 million, or 56%, principally driven by a $5.3 million increase in compensation costs. The increase in compensation costs reflects $4.6 million related to the additional headcount associated with Complex Networks and $0.7 million related to increased stock-based compensation primarily associated with the Liquidity 2 RSUs.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23,702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36 %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33 %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$8.9 million, or 37%, principally driven by a $4.6 million increase in compensation costs, a $1.8 million increase in insurance related to being a public company and a $1.5 million increase in rent related to the Complex Networks acquisition. The increase in compensation costs was primarily driven by $2.5 million of stock-based compensation principally associated with the Liquidity 2 RSUs and $1.3 million of additional headcount related to the acquisition of Complex Networks. We expect our general and administrative expenses to increase in absolute dollars due to the growth of our business and related infrastructure as well as legal, accounting, director and officer insurance premiums, investor relations and other costs associated with operating as a public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6,699</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8 %</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9 %</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$0.5 million, or 7%, driven by a $1.2 million increase in compensation expenses reflecting $0.8 million of additional headcount related to the acquisition of Complex Networks and $0.5 million related to merit increases, partially offset by declines in consulting and other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3"/>
              </w:rPr>
              <w:t>%</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color w:val="231F20"/>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color w:val="231F20"/>
              </w:rPr>
              <w:t>%</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by $3.2 million, or 61%, as a result of $3.1 million of amortization of intangible assets associated with the acquisition of Complex Networks.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4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income, net</w:t>
            </w: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231F20"/>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6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color w:val="231F20"/>
              </w:rPr>
              <w:t>%</w:t>
            </w:r>
          </w:p>
        </w:tc>
        <w:tc>
          <w:tcPr>
            <w:tcW w:w="66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1 %</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$0.2 million, or 31%, due to a $1.3 million increase in unrealized gain on remeasurement of our investment in a private company, offset by an increase in unrealized foreign exchange losses and other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231F20"/>
              </w:rPr>
              <w:t>NM</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231F20"/>
              </w:rPr>
              <w:t>As a percentage of revenue</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increased by $4.5 million primarily due to increased interest expense associated with the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2022, we recorded a $3.4 million loss on the change in fair value of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recorded a loss of $1.6 million due to a change in the estimated fair value of the derivative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4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provision (benefit)</w:t>
            </w: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231F20"/>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(4,816)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 Company recorded an income tax provision of $0.4 million related to federal, state, and foreign taxes.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the Company recorded an income tax benefit of $4.8 million, including a $4.3 million discrete tax benefit related to the release of a portion of the Company’s previously established valuation allowance to offset deferred tax liabilities arising from the HuffPost Acquisition.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the Company continued to maintain a valuation allowance against its U.S. and certain foreign deferred tax assets as the Company could not conclude that such assets will be realized on a more-likely-than-not basis. Any decline in the valuation allowance could have a favorable impact on our income tax provision and net income in the period in which such determination is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provision (benefit), interest expense, interest income, other income, net, depreciation and amortization, stock-based compensation, change in fair value of warrant liabilities, change in fair value of derivative liability, restructuring costs, public company readiness costs, and other non-cash and non-recurring items that management believes are not indicative of ongoing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a substitute for loss from operations, net loss, or net loss attributable to BuzzFeed, Inc. that we have reported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loss to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480" w:type="dxa"/>
            <w:vAlign w:val="bottom"/>
            <w:tcBorders>
              <w:bottom w:val="single" w:sz="8" w:color="CCEEFF"/>
            </w:tcBorders>
          </w:tcPr>
          <w:p>
            <w:pPr>
              <w:spacing w:after="0"/>
              <w:rPr>
                <w:sz w:val="12"/>
                <w:szCs w:val="12"/>
                <w:color w:val="auto"/>
              </w:rPr>
            </w:pPr>
          </w:p>
        </w:tc>
        <w:tc>
          <w:tcPr>
            <w:tcW w:w="4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73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Transaction costs</w:t>
            </w:r>
            <w:r>
              <w:rPr>
                <w:rFonts w:ascii="Times New Roman" w:cs="Times New Roman" w:eastAsia="Times New Roman" w:hAnsi="Times New Roman"/>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73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Public company readiness costs</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102"/>
        </w:trPr>
        <w:tc>
          <w:tcPr>
            <w:tcW w:w="248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r>
    </w:tbl>
    <w:p>
      <w:pPr>
        <w:spacing w:after="0" w:line="76" w:lineRule="exact"/>
        <w:rPr>
          <w:sz w:val="20"/>
          <w:szCs w:val="20"/>
          <w:color w:val="auto"/>
        </w:rPr>
      </w:pPr>
    </w:p>
    <w:p>
      <w:pPr>
        <w:jc w:val="both"/>
        <w:ind w:left="340" w:hanging="332"/>
        <w:spacing w:after="0" w:line="255" w:lineRule="auto"/>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For the three months ended March 31, 2022, reflects costs associated with the organizational changes to align sales and marketing and general and administrative functions as well as changes in content to better serve audience demands. For the three months ended March 31, 2021, reflects costs associated with involuntary terminations of employees across various roles and levels as part of the integration of the HuffPost Acquisition.</w:t>
      </w:r>
    </w:p>
    <w:p>
      <w:pPr>
        <w:spacing w:after="0" w:line="2" w:lineRule="exact"/>
        <w:rPr>
          <w:rFonts w:ascii="Times New Roman" w:cs="Times New Roman" w:eastAsia="Times New Roman" w:hAnsi="Times New Roman"/>
          <w:sz w:val="17"/>
          <w:szCs w:val="17"/>
          <w:color w:val="231F20"/>
        </w:rPr>
      </w:pPr>
    </w:p>
    <w:p>
      <w:pPr>
        <w:ind w:left="340" w:hanging="332"/>
        <w:spacing w:after="0"/>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Reflects one-time legal, advisory, consulting and incremental compensation expenses associated with the Business Combination.</w:t>
      </w:r>
    </w:p>
    <w:p>
      <w:pPr>
        <w:spacing w:after="0" w:line="9" w:lineRule="exact"/>
        <w:rPr>
          <w:rFonts w:ascii="Times New Roman" w:cs="Times New Roman" w:eastAsia="Times New Roman" w:hAnsi="Times New Roman"/>
          <w:sz w:val="17"/>
          <w:szCs w:val="17"/>
          <w:color w:val="231F20"/>
        </w:rPr>
      </w:pPr>
    </w:p>
    <w:p>
      <w:pPr>
        <w:ind w:left="340" w:hanging="332"/>
        <w:spacing w:after="0"/>
        <w:tabs>
          <w:tab w:leader="none" w:pos="34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Reflects public company readiness costs associated with the establishment of our public company structure and processes.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borrowings under our Revolving Credit Facility (as defined below), as well as cash generated from operations. Our cash and cash equivalents consist of demand deposits with financial institutions and investments in money market funds and totaled $74.5 million and $79.7 million at March 31, 2022 and December 31, 2021,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operating cash flows, together with cash and cash equivalents on hand and amounts available for borrowing under our revolving credit facility, will be sufficient to meet our working capital and capital expenditure requirements for at least the</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next 12 months. To the extent existing cash, operating cash flows, and amounts available for borrowing are insufficient to fund future activities, we may need to raise additional funds. 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There can be no assurances that we will be able to raise additional capital. The inability to raise capital could adversely affect our ability to achieve our business objectives.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$50.0 million revolving credit facility (“Revolving Credit Facility”), maturing in December 2023. Borrowings under the Revolving Credit Facility are generally limited to 95% of qualifying investment grade accounts receivable and 90% of qualifying non-investment grade accounts receivable, subject to adjustment at the discretion of the lenders. Borrowings under the Revolving Credit Facility bear interest at LIBOR, subject to a floor rate of 0.75%, plus a margin of 3.75% to 4.25%, depending on the level of our utilization of the Revolving Credit Facility. The Revolving Credit Facility is subject to a monthly minimum utilization of $15.0 million and also includes an unused commitment fee of 0.375%. The Revolving Credit Facility was amended and restated in connection with the closing of the Business Combination, namely to, among other things, add the Company and certain other entities as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Facility includes covenants that, among other things, require us to maintain at least $25.0 million of unrestricted cash at all times and limit our ability to incur additional indebtedness, grant liens, pay dividends, hold unpermitted investments, repurchase or redeem equity interests or make material changes to the business. We were in compliance with the financial covenant as of March 31, 2022.</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is secured by a first priority security interest on the Company’s and the other borrowers’ and guarantors’ cash, accounts receivable, books and records and related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we had outstanding borrowings under the Revolving Credit Facility of $28.5 million, outstanding letters of credit of $15.5 million, and remaining borrowing capacity of $6.0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completed the issuance of $150.0 million of unsecured convertible notes due 2026 (the “Notes”). The Notes bear interest at a rate of 8.50% per annum, payable semi-annually. The Notes are convertible into approximately 12,000,000 shares of our Class A common stock at an initial conversion price of $12.50 and mature on December 3, 2026.</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the third anniversary of the issuance of the Notes, subject to a holder’s prior right to convert and certain other conditions, if the volume-weighted average trading price of our Class A common stock is greater than or equal to 130% of the conversion price for more than 20 trading days during a period of 30 consecutive trading days. In the event that a holder of the Notes elects to convert its Notes after the one year anniversary, and prior to the three-year anniversary, of the issuance of the Notes, we will be obligated to pay an amount equal to: (i) from the one year anniversary of the issuance of the Notes to the two year anniversary of the issuance of the Notes, an amount equal to 18 month’s interest declining ratably on a monthly basis to 12 month’s interest on the aggregate principal amount of the Notes so converted and (ii) from the two year anniversary of the issuance of the Notes to the three year anniversary of the issuance of the Notes, an amount equal to 12 month’s interest declining ratably on a monthly basis to zero month’s interest, in each case, on the aggregate principal amount of the Notes so converted (the “Interest Make-Whole Payment”). The Interest Make-Whole Payment will be payable in cash.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holder of a Note will have the right to cause us to repurchase for cash all or a portion of the Notes held by such holder (i) at any time after the third anniversary of the closing date, at a price equal to par plus accrued and unpaid interest; or (ii) at any time upon the occurrence of a fundamental change (as defined in the indenture governing the Notes), at a price equal to 101% of par plus accrued and unpaid interest.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intellectual property, or enter into transactions with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investing and financing activities were as follows for the periods presented:</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160" w:type="dxa"/>
            <w:vAlign w:val="bottom"/>
            <w:gridSpan w:val="6"/>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7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operating activities decreased by $8.4 million compared to the three months ended March 31, 2021. The decrease in cash provided by operating activities was primarily driven by a $10.4 million increase in net loss, adjusted for non-cash items, a $9.0 million decrease in the change in accrued compensation, a $3.7 million decrease in the change in accounts payable, and a $3.0 million decrease in the change in accrued liabilities and other current liabilities, partially offset by a $11.9 million increase in the change in prepaid and other assets, and a $7.2 million increase in the change in accounts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cash used in investing activities was $5.9 million, which consists of $3.6 million of expenditures on internal-use software and $2.3 million of capital expenditures.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cash provided by investing activities was $3.0 million, which consists of $5.2 million of net cash acquired as part of the HuffPost Acquisition, partially offset by $1.3 million of expenditures on internal-use software and fixed assets of $0.9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cash used in financing activities was $0.2 million, principally consisting of $0.6 million of deferred reverse recapitalization costs, partially offset by proceeds from the exercise of stock options of $0.4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cash provided by financing activities was $35.1 million, principally consisting of $35.0 million of proceeds from the issuance of common stock related to the equity investment in us by an affiliate of Verizon.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obligations for office space under non-cancelable operating leases with various expiration dates through 2029 as well as repayment of borrowings under our Revolving Credit Facility and Notes.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2018, concurrent with an investment in a private company, we agreed to guarantee the lease of the investee’s premises in New York. In October 2020, the investee renewed its lease agreement, and our prior guarantee was replaced with a new guarantee of up to $5.4 million. The amount of the guarantee is reduced as the investee makes payments under the lease. As of March 31, 2022, the maximum amount under the guarantee was $2.3 million, and no liability was recognized with respect to the guarantee.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9, Note 15, and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GAAP. In doing so, we have to make estimates and assumptions that affect our reported amounts of assets, liabilities, revenues, expenses, and related disclosure. We evaluate our estimates and assumptions on an ongoing basis. Our estimates are based on historical experience and other assumptions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we believe are reasonable under the circumstances. To the extent that there are material differences between these estimates and actual results, our financial condition or operating results would be affected.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Please refer to “Management’s Discussion and Analysis of Financial Condition and Results of Operations” contained in Part II, Item 7 of our Annual Report on Form 10-K for the fiscal year ended December 31, 2021 for a more complete discussion of our critical accounting policies and estimates.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Refer to Note 2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JOBS Act provides that an emerging growth company can take advantage of the extended transition period provided in Section 7(a)(2)(B) of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(ii) the last date of our fiscal year in which we have total annual gross revenue of at least $1.07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United States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primarily the British Pound, Japanese Yen, and Canadian Dollar. This exposes us to the risk of fluctuations in foreign currency exchange rates. Accordingly, changes in exchange rates, and in particular a strengthening of the U.S. dollar, would negatively affect our revenue and results of operations as expressed in U.S. dollars. The Company does not enter into foreign currency forward exchange contracts or other derivative financial instruments to hedge the effects of adverse fluctuations in foreign currency exchange rates.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exposure to interest rates relates primarily to the variable interest component on our Revolving Credit Facility as well as interest earned and market value on money market funds included in our cash and cash equivalents. These exposures were not material for the three months ended March 31, 2022 or 2021, but may become material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$3.6 million at March 31, 2022 and $2.3 million at December 31,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December 31, 2021, we identified material weaknesses in our internal control over financial reporting. A material weakness is a deficiency, or a combination of deficiencies, in internal control over financial reporting such that there is a reasonable possibility that a misstatement of our annual or interim financial statements will not be prevented or detected on a timely basis. BuzzFeed has identified material weaknesses in its internal control over financial reporting that we are currently working to remediate, which relate to: (a) a lack of formalized internal control and segregation of duties in the financial statement close process; (b) a lack of sufficient levels of staff with public company and technical accounting experience; and (c) the selection and development of control activities, including information technology general controls.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2022, with the oversight of senior management, we have hired and will continue to hire additional accounting personnel with technical accounting and financial reporting experience. We have also supplemented accounting resources with external advisors to assist with performing technical accounting activities. We are in the process of identifying and implementing the specific controls to remediate the material weaknesses.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management designed remediation plans in 2021, due to resources constraints and lack of sufficient staff with technical expertise, the necessary business process and IT general controls were partially implemented or not executed consistently; thus, material weaknesses in our internal control environment were concluded. 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2022 and will make the changes we determine to be appropriate.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Exchange Act Rules 13a-15(e) and 15d-15(e))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March 31, 2022, the period covered in this report, our disclosure controls and procedures were not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 2021, the Company acquired Complex Networks (see Note 3 to the accompanying condensed consolidated financial statements). We are currently integrating policies, processes, people, technology and operations for the combined company. Management will continue to evaluate our internal control over financial reporting as we execute integration activities. Other than as noted above, and in connection with the implementation of the remedial measures described above, there were no changes in our internal control over financial reporting (as such term is defined in Rules 13a-15(f) and 15d-15(f) of the Exchange Act) during the quarter ended March 31, 2022 that have materially affected, or are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possibility that the final adjudication of pending or threatened legal proceedings to which we are a party, will, either individually or in the aggregate, have a material adverse effect on our financial position, results of operations, or cash flows.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2022, two mass arbitrations were initiated before the American Arbitration Association (the “AAA”) against the Company and certain of its executive officers and directors (together, the “BuzzFeed Defendants”) and Continental Stock Transfer Corporation (the “Arbitrations”) by 91 individuals purportedly employed by BuzzFeed Media Enterprises, Inc. or its predecessor in interest, a wholly owned subsidiary of the Company (the “Claimants”). Claimants allege that they were harmed when they were allegedly unable to convert their shares of Class B common stock to Class A common stock and sell those shares on December 6, 2021, the first day of trading following the business combination of 890 Fifth Avenue and legacy BuzzFeed, Inc., and assert claims for negligence, misrepresentation, breach of fiduciary duty, and violation of Section 11 of the Securities Act of 1933. Claimants seek to recover unspecified compensatory damages, an award of costs, and any further appropriate relief.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Claimants’ purported causes of action arise from their rights as shareholders of the Company, are governed by the Company’s charter, including its forum selection provision, and are therefore not arbitrable (the "Delaware Action"). The complaint seeks declaratory and injunctive relief. A hearing on the merits of the Delaware Action is scheduled for July 26, 2022. Effective April 21, 2022, the AAA has stayed the Arbitrations for a period of 60 days pursuant to Section 1 of the AAA Employment Arbitration Rules and Mediation Procedures. The parties have agreed to extend the stay of the Arbitrations until the Court of Chancery decides the merits of the Delaware Action. The Company does not believe that the final outcome of the Arbitrations will have a material adverse effect on its financial position, results of operations, or cash flows.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see Note 16 of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2021. Other than as described below, our risk factors have not changed materially since December 31, 2021.</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Through June 1, 2022, an aggregate of (i) 102,688,447 shares of our Class A common stock (including 2,776,073 shares of our Class A common stock subject to outstanding equity awards), (ii) 12,019,830 shares of our Class B common stock and (iii) 6,478,031 shares of our Class C common stock held by our stockholders are subject to transfer restrictions set forth in the registration rights agreement and the investors’ rights agreement entered into in connection with the Business Combination. As a result, a significant number of shares of Class A common stock will be available for sale on June 2, 2022. In addition, through the earlier of (i) December 3, 2022, (ii) the date that the last reported sale price of our Class A common stock equals or exceeds $12.00 per share (as adjusted for stock splits, stock capitalizations, reorganizations, recapitalizations and the like) for any 20 trading days within any 30-trading day period commencing May 2, 2022, and (iii) the date on which the company completes a liquidation, merger, capital stock exchange or other similar transaction that results in all of the company’s stockholders having the right to exchange their shares of Class A common stock for cash, securities or other property, an aggregate of 7,187,500 shares of our Class A common stock held by 200 Park Avenue Partners, LLC , PA 2 Co-Investment LLC , Craig-Hallum Capital Group LLC and certain affiliated individuals, are subject to transfer restrictions set forth in the registration rights agreement entered into in connection with the Business Combination. Following the expiration of each lock-up, the applicable securityholders will not be restricted from selling shares of our Class A common stock held by them, other than by applicable securities laws.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exercises of significant amounts of options or the settlement of significant amounts of equity awards at one time, including any related sales of shares of Class A common stock as a result of sell-to-cover transactions effected to address any associated tax liabilities or any discretionary sales by the holders of equity awards, could also reduce the market price of our Class A common stock. The Company generally restricts the sale of equity securities by officers, directors and employees to designated window periods each quarter. If there are significant exercises of options or settlement of equity awards in a limited period of time, such issuances would be very dilutive to existing stockholders. In addition, significant sales of shares of Class A common stock at one time as a result of associated sell-to-cover transactions or discretionary sales effected in connection with such exercises or settlement, including to cover holders’ tax obligations associated with the exercise and/or settlement of certain options and RSUs, may result in trading volatility and reduce the market price of our Class A common stock.</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consummation of the Business Consummation satisfied a liquidity condition for 2.7 million RSUs, causing these RSUs to vest. The Business Combination did not satisfy a liquidity condition for an additional 2.5 million of RSUs (“Liquidity 1 RSUs”). However, on May 12, 2022, the Company’s board of directors waived the liquidity condition associated with the Liquidity 1 RSUs, permitting them to vest also (based on service). On May 12, 2022, 2.4 million Liquidity 1 RSUs were outstanding. As a result of the vesting of these RSUs, a significant number of shares of Class A common stock may be sold in the public market in order to pay for the withholding tax due upon the vesting of these RSUs, and holders of RSUs may also elect to sell the shares of Class A common stock they receive upon the settlement of the RSUs. We expect that the settlement of 2.1 million of the Liquidity 1 RSUs may occur close in time to the expiration of the lock-up described above on June 1, 2022. Sales of a significant number of shares of our Class A common stock could result in trading volatility and cause the market price of our Class A common stock to decline.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issue preferred shares or other equity ranking senior to our Class A common stock. Preferred shares have, and those other securities will generally have, priority upon liquidation. Such securities also may be governed by an instrument containing covenants restricting our operating flexibility. Additionally, any convertible or exchangeable securities that we issue in the future may have rights, preferences and privileges more favorable than those of our Class A common stock. Because our decision to issue equity in the future will depend on market conditions and other factors beyond our control, we cannot predict or estimate the amount, timing, nature or success of our future capital raising efforts. As a result, future capital raising efforts may reduce the market price of our Class A common stock and be dilutive to existing shareholders.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restrictions on resale end, equity awards vest and registration statements become available for use, the market price of our Class A common stock could decline if the holders of currently restricted shares sell them or are perceived by the market as intending to sell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34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Change in Control and Severance Plan (filed as Exhibit 10.1 to the Company’s Form 8-K filed on February 9, 2022)</w:t>
              </w:r>
            </w:hyperlink>
          </w:p>
        </w:tc>
        <w:tc>
          <w:tcPr>
            <w:tcW w:w="200" w:type="dxa"/>
            <w:vAlign w:val="bottom"/>
          </w:tcPr>
          <w:p>
            <w:pPr>
              <w:spacing w:after="0"/>
              <w:rPr>
                <w:sz w:val="15"/>
                <w:szCs w:val="15"/>
                <w:color w:val="auto"/>
              </w:rPr>
            </w:pP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8560" w:type="dxa"/>
            <w:vAlign w:val="bottom"/>
            <w:gridSpan w:val="5"/>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Offer Letter, dated March 25, 2022, between BuzzFeed and Marcela Martin (filed as Exhibit 10.1 to the Company’s</w:t>
              </w:r>
            </w:hyperlink>
          </w:p>
        </w:tc>
      </w:tr>
      <w:tr>
        <w:trPr>
          <w:trHeight w:val="196"/>
        </w:trPr>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Form 8-K filed on May 6, 2022)</w:t>
              </w:r>
            </w:hyperlink>
          </w:p>
        </w:tc>
        <w:tc>
          <w:tcPr>
            <w:tcW w:w="598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232"/>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and 15d-14(a) under the Exchange Act, as</w:t>
            </w:r>
          </w:p>
        </w:tc>
      </w:tr>
      <w:tr>
        <w:trPr>
          <w:trHeight w:val="230"/>
        </w:trPr>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and 15d-14(a) under the Exchange Act, as</w:t>
            </w:r>
          </w:p>
        </w:tc>
      </w:tr>
      <w:tr>
        <w:trPr>
          <w:trHeight w:val="229"/>
        </w:trPr>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w:t>
            </w:r>
          </w:p>
        </w:tc>
      </w:tr>
      <w:tr>
        <w:trPr>
          <w:trHeight w:val="230"/>
        </w:trPr>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w:t>
            </w:r>
          </w:p>
        </w:tc>
      </w:tr>
      <w:tr>
        <w:trPr>
          <w:trHeight w:val="229"/>
        </w:trPr>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29"/>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101.SCHXBRL</w:t>
            </w:r>
          </w:p>
        </w:tc>
        <w:tc>
          <w:tcPr>
            <w:tcW w:w="18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30"/>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29"/>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30"/>
        </w:trPr>
        <w:tc>
          <w:tcPr>
            <w:tcW w:w="1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20"/>
                <w:szCs w:val="20"/>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a management or compensatory plan or arrangement in which directors or executive officers are eligible to participate.</w:t>
      </w:r>
    </w:p>
    <w:p>
      <w:pPr>
        <w:spacing w:after="0" w:line="225" w:lineRule="exact"/>
        <w:rPr>
          <w:sz w:val="20"/>
          <w:szCs w:val="20"/>
          <w:color w:val="auto"/>
        </w:rPr>
      </w:pPr>
    </w:p>
    <w:p>
      <w:pPr>
        <w:ind w:firstLine="8"/>
        <w:spacing w:after="0" w:line="282" w:lineRule="auto"/>
        <w:tabs>
          <w:tab w:leader="none" w:pos="1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BuzzFeed, Inc.</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17145</wp:posOffset>
            </wp:positionV>
            <wp:extent cx="28975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(Principal Financial Officer and Duly Authorized Officer)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Felicia DellaFortuna, certify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Jonah Peretti</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Felicia DellaFortuna, Chief Financial Officer of BuzzFeed,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pacing w:after="0" w:line="225" w:lineRule="exact"/>
        <w:rPr>
          <w:sz w:val="20"/>
          <w:szCs w:val="20"/>
          <w:color w:val="auto"/>
        </w:rPr>
      </w:pPr>
    </w:p>
    <w:p>
      <w:pPr>
        <w:ind w:left="4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8289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Felicia DellaFortuna</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4"/>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3"/>
    </w:lvl>
  </w:abstractNum>
  <w:abstractNum w:abstractNumId="15">
    <w:nsid w:val="2D1D5AE9"/>
    <w:multiLevelType w:val="hybridMultilevel"/>
    <w:lvl w:ilvl="0">
      <w:lvlJc w:val="left"/>
      <w:lvlText w:val="%1."/>
      <w:numFmt w:val="decimal"/>
      <w:start w:val="14"/>
    </w:lvl>
  </w:abstractNum>
  <w:abstractNum w:abstractNumId="16">
    <w:nsid w:val="6763845E"/>
    <w:multiLevelType w:val="hybridMultilevel"/>
    <w:lvl w:ilvl="0">
      <w:lvlJc w:val="left"/>
      <w:lvlText w:val="%1."/>
      <w:numFmt w:val="decimal"/>
      <w:start w:val="15"/>
    </w:lvl>
  </w:abstractNum>
  <w:abstractNum w:abstractNumId="17">
    <w:nsid w:val="75A2A8D4"/>
    <w:multiLevelType w:val="hybridMultilevel"/>
    <w:lvl w:ilvl="0">
      <w:lvlJc w:val="left"/>
      <w:lvlText w:val="%1."/>
      <w:numFmt w:val="decimal"/>
      <w:start w:val="16"/>
    </w:lvl>
  </w:abstractNum>
  <w:abstractNum w:abstractNumId="18">
    <w:nsid w:val="8EDBDAB"/>
    <w:multiLevelType w:val="hybridMultilevel"/>
    <w:lvl w:ilvl="0">
      <w:lvlJc w:val="left"/>
      <w:lvlText w:val="%1."/>
      <w:numFmt w:val="decimal"/>
      <w:start w:val="17"/>
    </w:lvl>
  </w:abstractNum>
  <w:abstractNum w:abstractNumId="19">
    <w:nsid w:val="79838CB2"/>
    <w:multiLevelType w:val="hybridMultilevel"/>
    <w:lvl w:ilvl="0">
      <w:lvlJc w:val="left"/>
      <w:lvlText w:val="%1."/>
      <w:numFmt w:val="decimal"/>
      <w:start w:val="18"/>
    </w:lvl>
  </w:abstractNum>
  <w:abstractNum w:abstractNumId="20">
    <w:nsid w:val="4353D0CD"/>
    <w:multiLevelType w:val="hybridMultilevel"/>
    <w:lvl w:ilvl="0">
      <w:lvlJc w:val="left"/>
      <w:lvlText w:val="%1."/>
      <w:numFmt w:val="decimal"/>
      <w:start w:val="19"/>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66" Type="http://schemas.openxmlformats.org/officeDocument/2006/relationships/hyperlink" Target="https://www.sec.gov/Archives/edgar/data/1828972/000110465922017086/tm224773d1_ex10-1.htm" TargetMode="External"/><Relationship Id="rId67" Type="http://schemas.openxmlformats.org/officeDocument/2006/relationships/hyperlink" Target="https://www.sec.gov/Archives/edgar/data/1828972/000110465922056670/tm221467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2022-05-16T17:07:25Z</dcterms:created>
  <dcterms:modified xsi:type="dcterms:W3CDTF">2022-05-16T17:07:25Z</dcterms:modified>
</cp:coreProperties>
</file>